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E9C4E">
      <w:pPr>
        <w:keepNext w:val="0"/>
        <w:keepLines w:val="0"/>
        <w:pageBreakBefore w:val="0"/>
        <w:kinsoku/>
        <w:overflowPunct/>
        <w:topLinePunct w:val="0"/>
        <w:autoSpaceDE/>
        <w:autoSpaceDN/>
        <w:bidi w:val="0"/>
        <w:adjustRightInd/>
        <w:snapToGrid/>
        <w:spacing w:line="600" w:lineRule="exact"/>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rPr>
        <w:t>附件</w:t>
      </w:r>
      <w:r>
        <w:rPr>
          <w:rFonts w:hint="default" w:ascii="Times New Roman" w:hAnsi="Times New Roman" w:eastAsia="方正黑体_GBK" w:cs="Times New Roman"/>
          <w:sz w:val="32"/>
          <w:szCs w:val="32"/>
          <w:lang w:val="en-US" w:eastAsia="zh-CN"/>
        </w:rPr>
        <w:t>1</w:t>
      </w:r>
    </w:p>
    <w:p w14:paraId="71C2F690">
      <w:pPr>
        <w:pStyle w:val="3"/>
        <w:rPr>
          <w:rFonts w:hint="default"/>
          <w:lang w:val="en-US" w:eastAsia="zh-CN"/>
        </w:rPr>
      </w:pPr>
    </w:p>
    <w:p w14:paraId="0FD3A715">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eastAsia="方正小标宋_GBK" w:cs="Times New Roman"/>
          <w:snapToGrid/>
          <w:color w:val="000000"/>
          <w:kern w:val="2"/>
          <w:sz w:val="44"/>
          <w:szCs w:val="44"/>
          <w:lang w:val="en-US" w:eastAsia="zh-CN" w:bidi="ar-SA"/>
        </w:rPr>
      </w:pPr>
      <w:r>
        <w:rPr>
          <w:rFonts w:hint="default" w:ascii="Times New Roman" w:hAnsi="Times New Roman" w:eastAsia="方正小标宋_GBK" w:cs="Times New Roman"/>
          <w:snapToGrid/>
          <w:color w:val="000000"/>
          <w:kern w:val="2"/>
          <w:sz w:val="44"/>
          <w:szCs w:val="44"/>
          <w:lang w:val="en-US" w:eastAsia="zh-CN" w:bidi="ar-SA"/>
        </w:rPr>
        <w:t>云南省中央粮油生产保障转移支付</w:t>
      </w:r>
    </w:p>
    <w:p w14:paraId="470BBC72">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eastAsia="方正小标宋_GBK" w:cs="Times New Roman"/>
          <w:snapToGrid/>
          <w:color w:val="000000"/>
          <w:kern w:val="2"/>
          <w:sz w:val="44"/>
          <w:szCs w:val="44"/>
          <w:lang w:val="en-US" w:eastAsia="zh-CN" w:bidi="ar-SA"/>
        </w:rPr>
      </w:pPr>
      <w:r>
        <w:rPr>
          <w:rFonts w:hint="default" w:ascii="Times New Roman" w:hAnsi="Times New Roman" w:eastAsia="方正小标宋_GBK" w:cs="Times New Roman"/>
          <w:snapToGrid/>
          <w:color w:val="000000"/>
          <w:kern w:val="2"/>
          <w:sz w:val="44"/>
          <w:szCs w:val="44"/>
          <w:lang w:val="en-US" w:eastAsia="zh-CN" w:bidi="ar-SA"/>
        </w:rPr>
        <w:t>2025年度绩效自评报告</w:t>
      </w:r>
    </w:p>
    <w:p w14:paraId="454E9F33">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cs="Times New Roman"/>
          <w:lang w:val="en-US" w:eastAsia="zh-CN"/>
        </w:rPr>
      </w:pPr>
    </w:p>
    <w:p w14:paraId="1574849B">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黑体_GBK" w:cs="Times New Roman"/>
          <w:b w:val="0"/>
          <w:bCs w:val="0"/>
          <w:kern w:val="2"/>
          <w:sz w:val="32"/>
          <w:szCs w:val="32"/>
          <w:lang w:val="en-US" w:eastAsia="zh-CN" w:bidi="ar-SA"/>
        </w:rPr>
      </w:pPr>
      <w:r>
        <w:rPr>
          <w:rFonts w:hint="default" w:ascii="Times New Roman" w:hAnsi="Times New Roman" w:eastAsia="方正黑体_GBK" w:cs="Times New Roman"/>
          <w:b w:val="0"/>
          <w:bCs w:val="0"/>
          <w:kern w:val="2"/>
          <w:sz w:val="32"/>
          <w:szCs w:val="32"/>
          <w:lang w:val="en-US" w:eastAsia="zh-CN" w:bidi="ar-SA"/>
        </w:rPr>
        <w:t>一、绩效目标分解下达情况</w:t>
      </w:r>
    </w:p>
    <w:p w14:paraId="46A87A88">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楷体_GBK" w:cs="Times New Roman"/>
          <w:b w:val="0"/>
          <w:bCs w:val="0"/>
          <w:color w:val="auto"/>
          <w:sz w:val="32"/>
          <w:szCs w:val="32"/>
          <w:highlight w:val="none"/>
          <w:lang w:eastAsia="zh-CN"/>
        </w:rPr>
      </w:pPr>
      <w:r>
        <w:rPr>
          <w:rFonts w:hint="default" w:ascii="Times New Roman" w:hAnsi="Times New Roman" w:eastAsia="方正楷体_GBK" w:cs="Times New Roman"/>
          <w:b w:val="0"/>
          <w:bCs w:val="0"/>
          <w:color w:val="auto"/>
          <w:sz w:val="32"/>
          <w:szCs w:val="32"/>
          <w:highlight w:val="none"/>
          <w:lang w:eastAsia="zh-CN"/>
        </w:rPr>
        <w:t>（一）中央下达专项转移支付预算和绩效目标情况</w:t>
      </w:r>
    </w:p>
    <w:p w14:paraId="11B21BCC">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1.中央预算下达情况</w:t>
      </w:r>
    </w:p>
    <w:p w14:paraId="600A3728">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年，财政部以</w:t>
      </w:r>
      <w:r>
        <w:rPr>
          <w:rFonts w:hint="default" w:ascii="Times New Roman" w:hAnsi="Times New Roman" w:eastAsia="方正仿宋_GBK" w:cs="Times New Roman"/>
          <w:b w:val="0"/>
          <w:bCs w:val="0"/>
          <w:color w:val="auto"/>
          <w:sz w:val="32"/>
          <w:szCs w:val="32"/>
          <w:lang w:eastAsia="zh-CN"/>
        </w:rPr>
        <w:t>《财政部关于</w:t>
      </w:r>
      <w:r>
        <w:rPr>
          <w:rFonts w:hint="default" w:ascii="Times New Roman" w:hAnsi="Times New Roman" w:eastAsia="方正仿宋_GBK" w:cs="Times New Roman"/>
          <w:b w:val="0"/>
          <w:bCs w:val="0"/>
          <w:color w:val="auto"/>
          <w:sz w:val="32"/>
          <w:szCs w:val="32"/>
          <w:lang w:val="en-US" w:eastAsia="zh-CN"/>
        </w:rPr>
        <w:t>提前</w:t>
      </w:r>
      <w:r>
        <w:rPr>
          <w:rFonts w:hint="default" w:ascii="Times New Roman" w:hAnsi="Times New Roman" w:eastAsia="方正仿宋_GBK" w:cs="Times New Roman"/>
          <w:b w:val="0"/>
          <w:bCs w:val="0"/>
          <w:color w:val="auto"/>
          <w:sz w:val="32"/>
          <w:szCs w:val="32"/>
          <w:lang w:eastAsia="zh-CN"/>
        </w:rPr>
        <w:t>下达20</w:t>
      </w:r>
      <w:r>
        <w:rPr>
          <w:rFonts w:hint="default" w:ascii="Times New Roman" w:hAnsi="Times New Roman" w:eastAsia="方正仿宋_GBK" w:cs="Times New Roman"/>
          <w:b w:val="0"/>
          <w:bCs w:val="0"/>
          <w:color w:val="auto"/>
          <w:sz w:val="32"/>
          <w:szCs w:val="32"/>
          <w:lang w:val="en-US" w:eastAsia="zh-CN"/>
        </w:rPr>
        <w:t>25</w:t>
      </w:r>
      <w:r>
        <w:rPr>
          <w:rFonts w:hint="default" w:ascii="Times New Roman" w:hAnsi="Times New Roman" w:eastAsia="方正仿宋_GBK" w:cs="Times New Roman"/>
          <w:b w:val="0"/>
          <w:bCs w:val="0"/>
          <w:color w:val="auto"/>
          <w:sz w:val="32"/>
          <w:szCs w:val="32"/>
          <w:lang w:eastAsia="zh-CN"/>
        </w:rPr>
        <w:t>年农业相关转移支付资金预算的通知》（财农〔20</w:t>
      </w:r>
      <w:r>
        <w:rPr>
          <w:rFonts w:hint="default" w:ascii="Times New Roman" w:hAnsi="Times New Roman" w:eastAsia="方正仿宋_GBK" w:cs="Times New Roman"/>
          <w:b w:val="0"/>
          <w:bCs w:val="0"/>
          <w:color w:val="auto"/>
          <w:sz w:val="32"/>
          <w:szCs w:val="32"/>
          <w:lang w:val="en-US" w:eastAsia="zh-CN"/>
        </w:rPr>
        <w:t>24</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lang w:val="en-US" w:eastAsia="zh-CN"/>
        </w:rPr>
        <w:t>78</w:t>
      </w:r>
      <w:r>
        <w:rPr>
          <w:rFonts w:hint="default" w:ascii="Times New Roman" w:hAnsi="Times New Roman" w:eastAsia="方正仿宋_GBK" w:cs="Times New Roman"/>
          <w:b w:val="0"/>
          <w:bCs w:val="0"/>
          <w:color w:val="auto"/>
          <w:sz w:val="32"/>
          <w:szCs w:val="32"/>
          <w:lang w:eastAsia="zh-CN"/>
        </w:rPr>
        <w:t>号）</w:t>
      </w:r>
      <w:r>
        <w:rPr>
          <w:rFonts w:hint="eastAsia"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highlight w:val="none"/>
          <w:lang w:eastAsia="zh-CN"/>
        </w:rPr>
        <w:t>《财政部关于下达2025年粮油生产保障资金预算的通知》（财农〔2025〕14号），共下达云南省20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年中央粮油生产保障资金</w:t>
      </w:r>
      <w:r>
        <w:rPr>
          <w:rFonts w:hint="default" w:ascii="Times New Roman" w:hAnsi="Times New Roman" w:eastAsia="方正仿宋_GBK" w:cs="Times New Roman"/>
          <w:b w:val="0"/>
          <w:bCs w:val="0"/>
          <w:color w:val="auto"/>
          <w:sz w:val="32"/>
          <w:szCs w:val="32"/>
          <w:highlight w:val="none"/>
          <w:lang w:val="en-US" w:eastAsia="zh-CN"/>
        </w:rPr>
        <w:t>31134</w:t>
      </w:r>
      <w:r>
        <w:rPr>
          <w:rFonts w:hint="default" w:ascii="Times New Roman" w:hAnsi="Times New Roman" w:eastAsia="方正仿宋_GBK" w:cs="Times New Roman"/>
          <w:b w:val="0"/>
          <w:bCs w:val="0"/>
          <w:color w:val="auto"/>
          <w:sz w:val="32"/>
          <w:szCs w:val="32"/>
          <w:highlight w:val="none"/>
          <w:lang w:eastAsia="zh-CN"/>
        </w:rPr>
        <w:t>万元。其中，小麦“一喷三防”</w:t>
      </w:r>
      <w:r>
        <w:rPr>
          <w:rFonts w:hint="default" w:ascii="Times New Roman" w:hAnsi="Times New Roman" w:eastAsia="方正仿宋_GBK" w:cs="Times New Roman"/>
          <w:b w:val="0"/>
          <w:bCs w:val="0"/>
          <w:color w:val="auto"/>
          <w:sz w:val="32"/>
          <w:szCs w:val="32"/>
          <w:highlight w:val="none"/>
          <w:lang w:val="en-US" w:eastAsia="zh-CN"/>
        </w:rPr>
        <w:t>1744万元，扩种油菜7200万元，大豆玉米带状复合种植10500万元，粮油等重点作物绿色高产高效（粮油）10990万元，粮油等重点作物绿色高产高效（菜药）700万元。</w:t>
      </w:r>
    </w:p>
    <w:p w14:paraId="2B11EF5A">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2.绩效目标下达情况</w:t>
      </w:r>
    </w:p>
    <w:p w14:paraId="5A243205">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我省按照《</w:t>
      </w:r>
      <w:r>
        <w:rPr>
          <w:rFonts w:hint="default" w:ascii="Times New Roman" w:hAnsi="Times New Roman" w:eastAsia="方正仿宋_GBK" w:cs="Times New Roman"/>
          <w:b w:val="0"/>
          <w:bCs w:val="0"/>
          <w:color w:val="auto"/>
          <w:sz w:val="32"/>
          <w:szCs w:val="32"/>
          <w:highlight w:val="none"/>
          <w:lang w:val="en-US" w:eastAsia="zh-CN"/>
        </w:rPr>
        <w:t>农业相关转移支付资金绩效管理办法</w:t>
      </w:r>
      <w:r>
        <w:rPr>
          <w:rFonts w:hint="default" w:ascii="Times New Roman" w:hAnsi="Times New Roman" w:eastAsia="方正仿宋_GBK" w:cs="Times New Roman"/>
          <w:b w:val="0"/>
          <w:bCs w:val="0"/>
          <w:color w:val="auto"/>
          <w:sz w:val="32"/>
          <w:szCs w:val="32"/>
          <w:highlight w:val="none"/>
          <w:lang w:eastAsia="zh-CN"/>
        </w:rPr>
        <w:t>》要求，结合20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年中央农业生产发展资金安排情况及任务目标，编制上报了《云南省粮油生产保障资金区域绩效目标表》，根据《财政部关于下达202</w:t>
      </w:r>
      <w:r>
        <w:rPr>
          <w:rFonts w:hint="default" w:ascii="Times New Roman" w:hAnsi="Times New Roman" w:eastAsia="方正仿宋_GBK" w:cs="Times New Roman"/>
          <w:b w:val="0"/>
          <w:bCs w:val="0"/>
          <w:color w:val="auto"/>
          <w:sz w:val="32"/>
          <w:szCs w:val="32"/>
          <w:highlight w:val="none"/>
          <w:lang w:val="en-US" w:eastAsia="zh-CN"/>
        </w:rPr>
        <w:t>5</w:t>
      </w:r>
      <w:r>
        <w:rPr>
          <w:rFonts w:hint="default" w:ascii="Times New Roman" w:hAnsi="Times New Roman" w:eastAsia="方正仿宋_GBK" w:cs="Times New Roman"/>
          <w:b w:val="0"/>
          <w:bCs w:val="0"/>
          <w:color w:val="auto"/>
          <w:sz w:val="32"/>
          <w:szCs w:val="32"/>
          <w:highlight w:val="none"/>
          <w:lang w:eastAsia="zh-CN"/>
        </w:rPr>
        <w:t>年粮油生产保障资金预算的通知》（财农〔20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14</w:t>
      </w:r>
      <w:r>
        <w:rPr>
          <w:rFonts w:hint="default" w:ascii="Times New Roman" w:hAnsi="Times New Roman" w:eastAsia="方正仿宋_GBK" w:cs="Times New Roman"/>
          <w:b w:val="0"/>
          <w:bCs w:val="0"/>
          <w:color w:val="auto"/>
          <w:sz w:val="32"/>
          <w:szCs w:val="32"/>
          <w:highlight w:val="none"/>
          <w:lang w:eastAsia="zh-CN"/>
        </w:rPr>
        <w:t>号），共下达我省绩效指标如下</w:t>
      </w:r>
      <w:r>
        <w:rPr>
          <w:rFonts w:hint="eastAsia" w:ascii="Times New Roman" w:hAnsi="Times New Roman" w:eastAsia="方正仿宋_GBK" w:cs="Times New Roman"/>
          <w:b w:val="0"/>
          <w:bCs w:val="0"/>
          <w:color w:val="auto"/>
          <w:sz w:val="32"/>
          <w:szCs w:val="32"/>
          <w:highlight w:val="none"/>
          <w:lang w:eastAsia="zh-CN"/>
        </w:rPr>
        <w:t>。</w:t>
      </w:r>
    </w:p>
    <w:p w14:paraId="7787A31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1</w:t>
      </w:r>
      <w:r>
        <w:rPr>
          <w:rFonts w:hint="default" w:ascii="Times New Roman" w:hAnsi="Times New Roman" w:eastAsia="方正仿宋_GBK" w:cs="Times New Roman"/>
          <w:b w:val="0"/>
          <w:bCs w:val="0"/>
          <w:color w:val="auto"/>
          <w:sz w:val="32"/>
          <w:szCs w:val="32"/>
          <w:highlight w:val="none"/>
          <w:lang w:eastAsia="zh-CN"/>
        </w:rPr>
        <w:t>）数量指标：小麦“一喷三防”项目区统防统治覆盖率</w:t>
      </w:r>
      <w:r>
        <w:rPr>
          <w:rFonts w:hint="default" w:ascii="Times New Roman" w:hAnsi="Times New Roman" w:eastAsia="方正仿宋_GBK" w:cs="Times New Roman"/>
          <w:b w:val="0"/>
          <w:bCs w:val="0"/>
          <w:color w:val="auto"/>
          <w:sz w:val="32"/>
          <w:szCs w:val="32"/>
          <w:highlight w:val="none"/>
          <w:lang w:val="en-US" w:eastAsia="zh-CN"/>
        </w:rPr>
        <w:t>≥</w:t>
      </w:r>
      <w:r>
        <w:rPr>
          <w:rFonts w:hint="default" w:ascii="Times New Roman" w:hAnsi="Times New Roman" w:eastAsia="方正仿宋_GBK" w:cs="Times New Roman"/>
          <w:b w:val="0"/>
          <w:bCs w:val="0"/>
          <w:color w:val="auto"/>
          <w:sz w:val="32"/>
          <w:szCs w:val="32"/>
          <w:highlight w:val="none"/>
          <w:lang w:eastAsia="zh-CN"/>
        </w:rPr>
        <w:t>75%，支持油菜生产面积</w:t>
      </w:r>
      <w:r>
        <w:rPr>
          <w:rFonts w:hint="default" w:ascii="Times New Roman" w:hAnsi="Times New Roman" w:eastAsia="方正仿宋_GBK" w:cs="Times New Roman"/>
          <w:b w:val="0"/>
          <w:bCs w:val="0"/>
          <w:color w:val="auto"/>
          <w:sz w:val="32"/>
          <w:szCs w:val="32"/>
          <w:highlight w:val="none"/>
          <w:lang w:val="en-US" w:eastAsia="zh-CN"/>
        </w:rPr>
        <w:t>48万亩，大豆玉米带状复合种植任务面积70万亩，重点作物绿色高产高效创建县31个，大豆玉米小麦油菜水稻单产提升整建制推进县20个，</w:t>
      </w:r>
      <w:r>
        <w:rPr>
          <w:rFonts w:hint="default" w:ascii="Times New Roman" w:hAnsi="Times New Roman" w:eastAsia="方正仿宋_GBK" w:cs="Times New Roman"/>
          <w:b w:val="0"/>
          <w:bCs w:val="0"/>
          <w:color w:val="auto"/>
          <w:sz w:val="32"/>
          <w:szCs w:val="32"/>
          <w:highlight w:val="none"/>
          <w:lang w:eastAsia="zh-CN"/>
        </w:rPr>
        <w:t>集成推广绿色高质高效模式</w:t>
      </w:r>
      <w:r>
        <w:rPr>
          <w:rFonts w:hint="default" w:ascii="Times New Roman" w:hAnsi="Times New Roman" w:eastAsia="方正仿宋_GBK" w:cs="Times New Roman"/>
          <w:b w:val="0"/>
          <w:bCs w:val="0"/>
          <w:color w:val="auto"/>
          <w:sz w:val="32"/>
          <w:szCs w:val="32"/>
          <w:highlight w:val="none"/>
          <w:lang w:val="en-US" w:eastAsia="zh-CN"/>
        </w:rPr>
        <w:t>8套。</w:t>
      </w:r>
    </w:p>
    <w:p w14:paraId="6E8D7AC7">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（2）质量指标：重点作物绿色高产高效项目区节本增效水平≥5%</w:t>
      </w:r>
      <w:r>
        <w:rPr>
          <w:rFonts w:hint="eastAsia" w:ascii="Times New Roman" w:hAnsi="Times New Roman" w:eastAsia="方正仿宋_GBK" w:cs="Times New Roman"/>
          <w:b w:val="0"/>
          <w:bCs w:val="0"/>
          <w:color w:val="auto"/>
          <w:sz w:val="32"/>
          <w:szCs w:val="32"/>
          <w:highlight w:val="none"/>
          <w:lang w:eastAsia="zh-CN"/>
        </w:rPr>
        <w:t>。</w:t>
      </w:r>
    </w:p>
    <w:p w14:paraId="29E3F30B">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3</w:t>
      </w:r>
      <w:r>
        <w:rPr>
          <w:rFonts w:hint="default" w:ascii="Times New Roman" w:hAnsi="Times New Roman" w:eastAsia="方正仿宋_GBK" w:cs="Times New Roman"/>
          <w:b w:val="0"/>
          <w:bCs w:val="0"/>
          <w:color w:val="auto"/>
          <w:sz w:val="32"/>
          <w:szCs w:val="32"/>
          <w:highlight w:val="none"/>
          <w:lang w:eastAsia="zh-CN"/>
        </w:rPr>
        <w:t>）时效指标：小麦“一喷三防”措施落实完成时限</w:t>
      </w:r>
      <w:r>
        <w:rPr>
          <w:rFonts w:hint="default" w:ascii="Times New Roman" w:hAnsi="Times New Roman" w:eastAsia="方正仿宋_GBK" w:cs="Times New Roman"/>
          <w:b w:val="0"/>
          <w:bCs w:val="0"/>
          <w:color w:val="auto"/>
          <w:sz w:val="32"/>
          <w:szCs w:val="32"/>
          <w:highlight w:val="none"/>
          <w:lang w:val="en-US" w:eastAsia="zh-CN"/>
        </w:rPr>
        <w:t>6月30日</w:t>
      </w:r>
      <w:r>
        <w:rPr>
          <w:rFonts w:hint="default" w:ascii="Times New Roman" w:hAnsi="Times New Roman" w:eastAsia="方正仿宋_GBK" w:cs="Times New Roman"/>
          <w:b w:val="0"/>
          <w:bCs w:val="0"/>
          <w:color w:val="auto"/>
          <w:sz w:val="32"/>
          <w:szCs w:val="32"/>
          <w:highlight w:val="none"/>
          <w:lang w:eastAsia="zh-CN"/>
        </w:rPr>
        <w:t>。</w:t>
      </w:r>
    </w:p>
    <w:p w14:paraId="626BF142">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4</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社会效益指标：防病治虫增产效果为危害损失率≤4%。</w:t>
      </w:r>
    </w:p>
    <w:p w14:paraId="498C92B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5）</w:t>
      </w:r>
      <w:r>
        <w:rPr>
          <w:rFonts w:hint="default" w:ascii="Times New Roman" w:hAnsi="Times New Roman" w:eastAsia="方正仿宋_GBK" w:cs="Times New Roman"/>
          <w:b w:val="0"/>
          <w:bCs w:val="0"/>
          <w:color w:val="auto"/>
          <w:sz w:val="32"/>
          <w:szCs w:val="32"/>
          <w:highlight w:val="none"/>
          <w:lang w:eastAsia="zh-CN"/>
        </w:rPr>
        <w:t>服务对象满意度指标：指导服务对象满意度≥</w:t>
      </w:r>
      <w:r>
        <w:rPr>
          <w:rFonts w:hint="default" w:ascii="Times New Roman" w:hAnsi="Times New Roman" w:eastAsia="方正仿宋_GBK" w:cs="Times New Roman"/>
          <w:b w:val="0"/>
          <w:bCs w:val="0"/>
          <w:color w:val="auto"/>
          <w:sz w:val="32"/>
          <w:szCs w:val="32"/>
          <w:highlight w:val="none"/>
          <w:lang w:val="en-US" w:eastAsia="zh-CN"/>
        </w:rPr>
        <w:t>85%。</w:t>
      </w:r>
    </w:p>
    <w:p w14:paraId="3287820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楷体_GBK" w:cs="Times New Roman"/>
          <w:b w:val="0"/>
          <w:bCs w:val="0"/>
          <w:color w:val="auto"/>
          <w:sz w:val="32"/>
          <w:szCs w:val="32"/>
          <w:highlight w:val="none"/>
          <w:lang w:eastAsia="zh-CN"/>
        </w:rPr>
      </w:pPr>
      <w:r>
        <w:rPr>
          <w:rFonts w:hint="default" w:ascii="Times New Roman" w:hAnsi="Times New Roman" w:eastAsia="方正楷体_GBK" w:cs="Times New Roman"/>
          <w:b w:val="0"/>
          <w:bCs w:val="0"/>
          <w:color w:val="auto"/>
          <w:sz w:val="32"/>
          <w:szCs w:val="32"/>
          <w:highlight w:val="none"/>
          <w:lang w:eastAsia="zh-CN"/>
        </w:rPr>
        <w:t>（二）省内分解下达预算和绩效目标情况</w:t>
      </w:r>
    </w:p>
    <w:p w14:paraId="120298CF">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lang w:eastAsia="zh-CN"/>
        </w:rPr>
      </w:pPr>
      <w:r>
        <w:rPr>
          <w:rFonts w:hint="default" w:ascii="Times New Roman" w:hAnsi="Times New Roman" w:eastAsia="方正仿宋_GBK" w:cs="Times New Roman"/>
          <w:b w:val="0"/>
          <w:bCs w:val="0"/>
          <w:color w:val="auto"/>
          <w:sz w:val="32"/>
          <w:szCs w:val="32"/>
          <w:highlight w:val="none"/>
          <w:lang w:eastAsia="zh-CN"/>
        </w:rPr>
        <w:t>1.</w:t>
      </w:r>
      <w:r>
        <w:rPr>
          <w:rFonts w:hint="eastAsia" w:ascii="Times New Roman" w:hAnsi="Times New Roman" w:eastAsia="方正仿宋_GBK" w:cs="Times New Roman"/>
          <w:b w:val="0"/>
          <w:bCs w:val="0"/>
          <w:color w:val="auto"/>
          <w:sz w:val="32"/>
          <w:szCs w:val="32"/>
          <w:highlight w:val="none"/>
          <w:lang w:val="en-US" w:eastAsia="zh-CN"/>
        </w:rPr>
        <w:t>省内分解</w:t>
      </w:r>
      <w:r>
        <w:rPr>
          <w:rFonts w:hint="default" w:ascii="Times New Roman" w:hAnsi="Times New Roman" w:eastAsia="方正仿宋_GBK" w:cs="Times New Roman"/>
          <w:b w:val="0"/>
          <w:bCs w:val="0"/>
          <w:color w:val="auto"/>
          <w:sz w:val="32"/>
          <w:szCs w:val="32"/>
          <w:highlight w:val="none"/>
          <w:lang w:eastAsia="zh-CN"/>
        </w:rPr>
        <w:t>下达</w:t>
      </w:r>
      <w:r>
        <w:rPr>
          <w:rFonts w:hint="eastAsia" w:ascii="Times New Roman" w:hAnsi="Times New Roman" w:eastAsia="方正仿宋_GBK" w:cs="Times New Roman"/>
          <w:b w:val="0"/>
          <w:bCs w:val="0"/>
          <w:color w:val="auto"/>
          <w:sz w:val="32"/>
          <w:szCs w:val="32"/>
          <w:highlight w:val="none"/>
          <w:lang w:val="en-US" w:eastAsia="zh-CN"/>
        </w:rPr>
        <w:t>预算</w:t>
      </w:r>
      <w:r>
        <w:rPr>
          <w:rFonts w:hint="default" w:ascii="Times New Roman" w:hAnsi="Times New Roman" w:eastAsia="方正仿宋_GBK" w:cs="Times New Roman"/>
          <w:b w:val="0"/>
          <w:bCs w:val="0"/>
          <w:color w:val="auto"/>
          <w:sz w:val="32"/>
          <w:szCs w:val="32"/>
          <w:highlight w:val="none"/>
          <w:lang w:eastAsia="zh-CN"/>
        </w:rPr>
        <w:t>情况</w:t>
      </w:r>
    </w:p>
    <w:p w14:paraId="03A44C05">
      <w:pPr>
        <w:keepNext w:val="0"/>
        <w:keepLines w:val="0"/>
        <w:pageBreakBefore w:val="0"/>
        <w:widowControl w:val="0"/>
        <w:kinsoku/>
        <w:wordWrap w:val="0"/>
        <w:overflowPunct/>
        <w:topLinePunct w:val="0"/>
        <w:autoSpaceDE/>
        <w:autoSpaceDN/>
        <w:bidi w:val="0"/>
        <w:adjustRightInd/>
        <w:snapToGrid/>
        <w:spacing w:line="600" w:lineRule="exact"/>
        <w:ind w:left="0" w:firstLine="640" w:firstLineChars="200"/>
        <w:textAlignment w:val="auto"/>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年，我省结合实际，以《云南省财政厅关于提前下达2025年中央农业相关转移支付资金的通知》（云财农〔202</w:t>
      </w:r>
      <w:r>
        <w:rPr>
          <w:rFonts w:hint="default" w:ascii="Times New Roman" w:hAnsi="Times New Roman" w:eastAsia="方正仿宋_GBK" w:cs="Times New Roman"/>
          <w:b w:val="0"/>
          <w:bCs w:val="0"/>
          <w:color w:val="auto"/>
          <w:sz w:val="32"/>
          <w:szCs w:val="32"/>
          <w:highlight w:val="none"/>
          <w:lang w:val="en-US" w:eastAsia="zh-CN"/>
        </w:rPr>
        <w:t>4</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167</w:t>
      </w:r>
      <w:r>
        <w:rPr>
          <w:rFonts w:hint="default" w:ascii="Times New Roman" w:hAnsi="Times New Roman" w:eastAsia="方正仿宋_GBK" w:cs="Times New Roman"/>
          <w:b w:val="0"/>
          <w:bCs w:val="0"/>
          <w:color w:val="auto"/>
          <w:sz w:val="32"/>
          <w:szCs w:val="32"/>
          <w:highlight w:val="none"/>
          <w:lang w:eastAsia="zh-CN"/>
        </w:rPr>
        <w:t>号）</w:t>
      </w:r>
      <w:r>
        <w:rPr>
          <w:rFonts w:hint="eastAsia"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eastAsia="zh-CN"/>
        </w:rPr>
        <w:t>《云南省财政厅关于下达中央粮油生产保障资金（第二批）的通知》（云财农〔20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60</w:t>
      </w:r>
      <w:r>
        <w:rPr>
          <w:rFonts w:hint="default" w:ascii="Times New Roman" w:hAnsi="Times New Roman" w:eastAsia="方正仿宋_GBK" w:cs="Times New Roman"/>
          <w:b w:val="0"/>
          <w:bCs w:val="0"/>
          <w:color w:val="auto"/>
          <w:sz w:val="32"/>
          <w:szCs w:val="32"/>
          <w:highlight w:val="none"/>
          <w:lang w:eastAsia="zh-CN"/>
        </w:rPr>
        <w:t>号），将中央资金</w:t>
      </w:r>
      <w:r>
        <w:rPr>
          <w:rFonts w:hint="default" w:ascii="Times New Roman" w:hAnsi="Times New Roman" w:eastAsia="方正仿宋_GBK" w:cs="Times New Roman"/>
          <w:b w:val="0"/>
          <w:bCs w:val="0"/>
          <w:color w:val="auto"/>
          <w:sz w:val="32"/>
          <w:szCs w:val="32"/>
          <w:highlight w:val="none"/>
          <w:lang w:val="en-US" w:eastAsia="zh-CN"/>
        </w:rPr>
        <w:t>31134</w:t>
      </w:r>
      <w:r>
        <w:rPr>
          <w:rFonts w:hint="default" w:ascii="Times New Roman" w:hAnsi="Times New Roman" w:eastAsia="方正仿宋_GBK" w:cs="Times New Roman"/>
          <w:b w:val="0"/>
          <w:bCs w:val="0"/>
          <w:color w:val="auto"/>
          <w:sz w:val="32"/>
          <w:szCs w:val="32"/>
          <w:highlight w:val="none"/>
          <w:lang w:eastAsia="zh-CN"/>
        </w:rPr>
        <w:t>万元，以及我省编制上报的</w:t>
      </w:r>
      <w:r>
        <w:rPr>
          <w:rFonts w:hint="default" w:ascii="Times New Roman" w:hAnsi="Times New Roman" w:eastAsia="方正仿宋_GBK" w:cs="Times New Roman"/>
          <w:b w:val="0"/>
          <w:bCs w:val="0"/>
          <w:color w:val="auto"/>
          <w:sz w:val="32"/>
          <w:szCs w:val="32"/>
          <w:highlight w:val="none"/>
          <w:lang w:val="en-US" w:eastAsia="zh-CN"/>
        </w:rPr>
        <w:t>中央</w:t>
      </w:r>
      <w:r>
        <w:rPr>
          <w:rFonts w:hint="default" w:ascii="Times New Roman" w:hAnsi="Times New Roman" w:eastAsia="方正仿宋_GBK" w:cs="Times New Roman"/>
          <w:b w:val="0"/>
          <w:bCs w:val="0"/>
          <w:color w:val="auto"/>
          <w:sz w:val="32"/>
          <w:szCs w:val="32"/>
          <w:highlight w:val="none"/>
          <w:lang w:eastAsia="zh-CN"/>
        </w:rPr>
        <w:t>粮油生产保障资金区域绩效目标分解下达，各项目资金下达情况如下表。</w:t>
      </w:r>
    </w:p>
    <w:p w14:paraId="6ADA0290">
      <w:pPr>
        <w:keepNext w:val="0"/>
        <w:keepLines w:val="0"/>
        <w:pageBreakBefore w:val="0"/>
        <w:kinsoku/>
        <w:wordWrap/>
        <w:overflowPunct/>
        <w:topLinePunct w:val="0"/>
        <w:autoSpaceDE/>
        <w:autoSpaceDN/>
        <w:bidi w:val="0"/>
        <w:adjustRightInd/>
        <w:snapToGrid/>
        <w:spacing w:line="600" w:lineRule="exact"/>
        <w:ind w:left="0"/>
        <w:jc w:val="center"/>
        <w:rPr>
          <w:rFonts w:hint="default"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lang w:val="en-US" w:eastAsia="zh-CN"/>
        </w:rPr>
        <w:t>云南省2025年度中央粮油生产保障资金下达情况表</w:t>
      </w:r>
    </w:p>
    <w:p w14:paraId="41F1B052">
      <w:pPr>
        <w:keepNext w:val="0"/>
        <w:keepLines w:val="0"/>
        <w:pageBreakBefore w:val="0"/>
        <w:kinsoku/>
        <w:wordWrap/>
        <w:overflowPunct/>
        <w:topLinePunct w:val="0"/>
        <w:autoSpaceDE/>
        <w:autoSpaceDN/>
        <w:bidi w:val="0"/>
        <w:adjustRightInd/>
        <w:snapToGrid/>
        <w:spacing w:line="600" w:lineRule="exact"/>
        <w:ind w:left="0" w:firstLine="560" w:firstLineChars="200"/>
        <w:rPr>
          <w:rFonts w:hint="default" w:ascii="Times New Roman" w:hAnsi="Times New Roman" w:eastAsia="方正仿宋_GBK" w:cs="Times New Roman"/>
          <w:b w:val="0"/>
          <w:bCs w:val="0"/>
          <w:color w:val="auto"/>
          <w:sz w:val="24"/>
          <w:szCs w:val="24"/>
          <w:highlight w:val="none"/>
          <w:lang w:eastAsia="zh-CN"/>
        </w:rPr>
      </w:pPr>
      <w:r>
        <w:rPr>
          <w:rFonts w:hint="default" w:ascii="Times New Roman" w:hAnsi="Times New Roman" w:eastAsia="方正仿宋_GBK" w:cs="Times New Roman"/>
          <w:b w:val="0"/>
          <w:bCs w:val="0"/>
          <w:color w:val="auto"/>
          <w:sz w:val="28"/>
          <w:szCs w:val="28"/>
          <w:highlight w:val="none"/>
          <w:lang w:eastAsia="zh-CN"/>
        </w:rPr>
        <w:t>　　　　　　　　　　　　　　　　　　　　</w:t>
      </w:r>
      <w:r>
        <w:rPr>
          <w:rFonts w:hint="default" w:ascii="Times New Roman" w:hAnsi="Times New Roman" w:eastAsia="方正仿宋_GBK" w:cs="Times New Roman"/>
          <w:b w:val="0"/>
          <w:bCs w:val="0"/>
          <w:color w:val="auto"/>
          <w:sz w:val="28"/>
          <w:szCs w:val="28"/>
          <w:highlight w:val="none"/>
          <w:lang w:val="en-US" w:eastAsia="zh-CN"/>
        </w:rPr>
        <w:t xml:space="preserve">    </w:t>
      </w:r>
      <w:r>
        <w:rPr>
          <w:rFonts w:hint="default" w:ascii="Times New Roman" w:hAnsi="Times New Roman" w:eastAsia="方正仿宋_GBK" w:cs="Times New Roman"/>
          <w:b w:val="0"/>
          <w:bCs w:val="0"/>
          <w:color w:val="auto"/>
          <w:sz w:val="24"/>
          <w:szCs w:val="24"/>
          <w:highlight w:val="none"/>
          <w:lang w:eastAsia="zh-CN"/>
        </w:rPr>
        <w:t>单位：万元</w:t>
      </w:r>
    </w:p>
    <w:tbl>
      <w:tblPr>
        <w:tblStyle w:val="7"/>
        <w:tblW w:w="0" w:type="auto"/>
        <w:jc w:val="center"/>
        <w:tblLayout w:type="fixed"/>
        <w:tblCellMar>
          <w:top w:w="0" w:type="dxa"/>
          <w:left w:w="0" w:type="dxa"/>
          <w:bottom w:w="0" w:type="dxa"/>
          <w:right w:w="0" w:type="dxa"/>
        </w:tblCellMar>
      </w:tblPr>
      <w:tblGrid>
        <w:gridCol w:w="899"/>
        <w:gridCol w:w="4565"/>
        <w:gridCol w:w="2746"/>
      </w:tblGrid>
      <w:tr w14:paraId="45F9AE7D">
        <w:tblPrEx>
          <w:tblCellMar>
            <w:top w:w="0" w:type="dxa"/>
            <w:left w:w="0" w:type="dxa"/>
            <w:bottom w:w="0" w:type="dxa"/>
            <w:right w:w="0" w:type="dxa"/>
          </w:tblCellMar>
        </w:tblPrEx>
        <w:trPr>
          <w:trHeight w:val="486"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DC43A4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序号</w:t>
            </w:r>
          </w:p>
        </w:tc>
        <w:tc>
          <w:tcPr>
            <w:tcW w:w="456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829ED9C">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项目资金名称</w:t>
            </w:r>
          </w:p>
        </w:tc>
        <w:tc>
          <w:tcPr>
            <w:tcW w:w="274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DB6706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省级下达金额</w:t>
            </w:r>
          </w:p>
        </w:tc>
      </w:tr>
      <w:tr w14:paraId="29630DC5">
        <w:tblPrEx>
          <w:tblCellMar>
            <w:top w:w="0" w:type="dxa"/>
            <w:left w:w="0" w:type="dxa"/>
            <w:bottom w:w="0" w:type="dxa"/>
            <w:right w:w="0" w:type="dxa"/>
          </w:tblCellMar>
        </w:tblPrEx>
        <w:trPr>
          <w:trHeight w:val="474"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1BEAA5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456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FC1B6D">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小麦“一喷三防”</w:t>
            </w:r>
          </w:p>
        </w:tc>
        <w:tc>
          <w:tcPr>
            <w:tcW w:w="274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587CE42">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sz w:val="24"/>
                <w:szCs w:val="24"/>
                <w:highlight w:val="none"/>
                <w:u w:val="none"/>
                <w:lang w:val="en-US"/>
              </w:rPr>
            </w:pPr>
            <w:r>
              <w:rPr>
                <w:rFonts w:hint="default" w:ascii="Times New Roman" w:hAnsi="Times New Roman" w:eastAsia="方正仿宋_GBK" w:cs="Times New Roman"/>
                <w:i w:val="0"/>
                <w:color w:val="auto"/>
                <w:kern w:val="0"/>
                <w:sz w:val="24"/>
                <w:szCs w:val="24"/>
                <w:highlight w:val="none"/>
                <w:u w:val="none"/>
                <w:lang w:val="en-US" w:eastAsia="zh-CN" w:bidi="ar"/>
              </w:rPr>
              <w:t>1744</w:t>
            </w:r>
          </w:p>
        </w:tc>
      </w:tr>
      <w:tr w14:paraId="75D0EC20">
        <w:tblPrEx>
          <w:tblCellMar>
            <w:top w:w="0" w:type="dxa"/>
            <w:left w:w="0" w:type="dxa"/>
            <w:bottom w:w="0" w:type="dxa"/>
            <w:right w:w="0" w:type="dxa"/>
          </w:tblCellMar>
        </w:tblPrEx>
        <w:trPr>
          <w:trHeight w:val="405"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5B3F4A9">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2</w:t>
            </w:r>
          </w:p>
        </w:tc>
        <w:tc>
          <w:tcPr>
            <w:tcW w:w="456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1A45EF">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粮油等重点作物绿色高产高效（粮油）</w:t>
            </w:r>
          </w:p>
        </w:tc>
        <w:tc>
          <w:tcPr>
            <w:tcW w:w="274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D418C4C">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sz w:val="24"/>
                <w:szCs w:val="24"/>
                <w:highlight w:val="none"/>
                <w:u w:val="none"/>
                <w:lang w:val="en-US"/>
              </w:rPr>
            </w:pPr>
            <w:r>
              <w:rPr>
                <w:rFonts w:hint="default" w:ascii="Times New Roman" w:hAnsi="Times New Roman" w:eastAsia="方正仿宋_GBK" w:cs="Times New Roman"/>
                <w:i w:val="0"/>
                <w:color w:val="auto"/>
                <w:kern w:val="0"/>
                <w:sz w:val="24"/>
                <w:szCs w:val="24"/>
                <w:highlight w:val="none"/>
                <w:u w:val="none"/>
                <w:lang w:val="en-US" w:eastAsia="zh-CN" w:bidi="ar"/>
              </w:rPr>
              <w:t>10990</w:t>
            </w:r>
          </w:p>
        </w:tc>
      </w:tr>
      <w:tr w14:paraId="41721752">
        <w:tblPrEx>
          <w:tblCellMar>
            <w:top w:w="0" w:type="dxa"/>
            <w:left w:w="0" w:type="dxa"/>
            <w:bottom w:w="0" w:type="dxa"/>
            <w:right w:w="0" w:type="dxa"/>
          </w:tblCellMar>
        </w:tblPrEx>
        <w:trPr>
          <w:trHeight w:val="461"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0DBA26B">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w:t>
            </w:r>
          </w:p>
        </w:tc>
        <w:tc>
          <w:tcPr>
            <w:tcW w:w="456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2660A1C">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粮油等重点作物绿色高产高效（菜药）</w:t>
            </w:r>
          </w:p>
        </w:tc>
        <w:tc>
          <w:tcPr>
            <w:tcW w:w="274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157F024">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700</w:t>
            </w:r>
          </w:p>
        </w:tc>
      </w:tr>
      <w:tr w14:paraId="0CC66FDB">
        <w:tblPrEx>
          <w:tblCellMar>
            <w:top w:w="0" w:type="dxa"/>
            <w:left w:w="0" w:type="dxa"/>
            <w:bottom w:w="0" w:type="dxa"/>
            <w:right w:w="0" w:type="dxa"/>
          </w:tblCellMar>
        </w:tblPrEx>
        <w:trPr>
          <w:trHeight w:val="443"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EB065C4">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4</w:t>
            </w:r>
          </w:p>
        </w:tc>
        <w:tc>
          <w:tcPr>
            <w:tcW w:w="456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FC1F4E">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扩种油菜</w:t>
            </w:r>
          </w:p>
        </w:tc>
        <w:tc>
          <w:tcPr>
            <w:tcW w:w="274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149C5B7">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7200</w:t>
            </w:r>
          </w:p>
        </w:tc>
      </w:tr>
      <w:tr w14:paraId="0832A748">
        <w:tblPrEx>
          <w:tblCellMar>
            <w:top w:w="0" w:type="dxa"/>
            <w:left w:w="0" w:type="dxa"/>
            <w:bottom w:w="0" w:type="dxa"/>
            <w:right w:w="0" w:type="dxa"/>
          </w:tblCellMar>
        </w:tblPrEx>
        <w:trPr>
          <w:trHeight w:val="508"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21ADC70">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w:t>
            </w:r>
          </w:p>
        </w:tc>
        <w:tc>
          <w:tcPr>
            <w:tcW w:w="456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6A4599D">
            <w:pPr>
              <w:keepNext w:val="0"/>
              <w:keepLines w:val="0"/>
              <w:pageBreakBefore w:val="0"/>
              <w:widowControl/>
              <w:suppressLineNumbers w:val="0"/>
              <w:kinsoku/>
              <w:wordWrap/>
              <w:overflowPunct/>
              <w:topLinePunct w:val="0"/>
              <w:autoSpaceDE/>
              <w:autoSpaceDN/>
              <w:bidi w:val="0"/>
              <w:adjustRightInd/>
              <w:snapToGrid/>
              <w:spacing w:line="600" w:lineRule="exac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大豆玉米带状复合种植</w:t>
            </w:r>
          </w:p>
        </w:tc>
        <w:tc>
          <w:tcPr>
            <w:tcW w:w="274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5534202">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10500</w:t>
            </w:r>
          </w:p>
        </w:tc>
      </w:tr>
      <w:tr w14:paraId="521E6C56">
        <w:tblPrEx>
          <w:tblCellMar>
            <w:top w:w="0" w:type="dxa"/>
            <w:left w:w="0" w:type="dxa"/>
            <w:bottom w:w="0" w:type="dxa"/>
            <w:right w:w="0" w:type="dxa"/>
          </w:tblCellMar>
        </w:tblPrEx>
        <w:trPr>
          <w:trHeight w:val="518" w:hRule="atLeast"/>
          <w:jc w:val="center"/>
        </w:trPr>
        <w:tc>
          <w:tcPr>
            <w:tcW w:w="5464"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7AF02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bCs w:val="0"/>
                <w:i w:val="0"/>
                <w:color w:val="auto"/>
                <w:kern w:val="0"/>
                <w:sz w:val="24"/>
                <w:szCs w:val="24"/>
                <w:highlight w:val="none"/>
                <w:u w:val="none"/>
                <w:lang w:val="en-US" w:eastAsia="zh-CN" w:bidi="ar"/>
              </w:rPr>
            </w:pPr>
            <w:r>
              <w:rPr>
                <w:rFonts w:hint="default" w:ascii="Times New Roman" w:hAnsi="Times New Roman" w:eastAsia="方正仿宋_GBK" w:cs="Times New Roman"/>
                <w:b/>
                <w:bCs w:val="0"/>
                <w:i w:val="0"/>
                <w:color w:val="auto"/>
                <w:kern w:val="0"/>
                <w:sz w:val="24"/>
                <w:szCs w:val="24"/>
                <w:highlight w:val="none"/>
                <w:u w:val="none"/>
                <w:lang w:val="en-US" w:eastAsia="zh-CN" w:bidi="ar"/>
              </w:rPr>
              <w:t>合计</w:t>
            </w:r>
          </w:p>
        </w:tc>
        <w:tc>
          <w:tcPr>
            <w:tcW w:w="274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09D989D">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bCs w:val="0"/>
                <w:i w:val="0"/>
                <w:color w:val="auto"/>
                <w:kern w:val="0"/>
                <w:sz w:val="24"/>
                <w:szCs w:val="24"/>
                <w:highlight w:val="none"/>
                <w:u w:val="none"/>
                <w:lang w:val="en-US" w:eastAsia="zh-CN" w:bidi="ar"/>
              </w:rPr>
            </w:pPr>
            <w:r>
              <w:rPr>
                <w:rFonts w:hint="default" w:ascii="Times New Roman" w:hAnsi="Times New Roman" w:eastAsia="方正仿宋_GBK" w:cs="Times New Roman"/>
                <w:b/>
                <w:bCs w:val="0"/>
                <w:i w:val="0"/>
                <w:color w:val="auto"/>
                <w:kern w:val="0"/>
                <w:sz w:val="24"/>
                <w:szCs w:val="24"/>
                <w:highlight w:val="none"/>
                <w:u w:val="none"/>
                <w:lang w:val="en-US" w:eastAsia="zh-CN" w:bidi="ar"/>
              </w:rPr>
              <w:t>31134</w:t>
            </w:r>
          </w:p>
        </w:tc>
      </w:tr>
    </w:tbl>
    <w:p w14:paraId="5D531DC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w:t>
      </w:r>
      <w:r>
        <w:rPr>
          <w:rFonts w:hint="eastAsia" w:ascii="Times New Roman" w:hAnsi="Times New Roman" w:eastAsia="方正仿宋_GBK" w:cs="Times New Roman"/>
          <w:b w:val="0"/>
          <w:bCs w:val="0"/>
          <w:color w:val="auto"/>
          <w:sz w:val="32"/>
          <w:szCs w:val="32"/>
          <w:highlight w:val="none"/>
          <w:lang w:val="en-US" w:eastAsia="zh-CN"/>
        </w:rPr>
        <w:t>省内</w:t>
      </w:r>
      <w:r>
        <w:rPr>
          <w:rFonts w:hint="default" w:ascii="Times New Roman" w:hAnsi="Times New Roman" w:eastAsia="方正仿宋_GBK" w:cs="Times New Roman"/>
          <w:b w:val="0"/>
          <w:bCs w:val="0"/>
          <w:color w:val="auto"/>
          <w:sz w:val="32"/>
          <w:szCs w:val="32"/>
          <w:highlight w:val="none"/>
          <w:lang w:eastAsia="zh-CN"/>
        </w:rPr>
        <w:t>绩效目标下达情况</w:t>
      </w:r>
    </w:p>
    <w:p w14:paraId="732ECEC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1</w:t>
      </w:r>
      <w:r>
        <w:rPr>
          <w:rFonts w:hint="default" w:ascii="Times New Roman" w:hAnsi="Times New Roman" w:eastAsia="方正仿宋_GBK" w:cs="Times New Roman"/>
          <w:b w:val="0"/>
          <w:bCs w:val="0"/>
          <w:color w:val="auto"/>
          <w:sz w:val="32"/>
          <w:szCs w:val="32"/>
          <w:highlight w:val="none"/>
          <w:lang w:eastAsia="zh-CN"/>
        </w:rPr>
        <w:t>）数量指标：小麦“一喷三防”项目区统防统治覆盖率</w:t>
      </w:r>
      <w:r>
        <w:rPr>
          <w:rFonts w:hint="default" w:ascii="Times New Roman" w:hAnsi="Times New Roman" w:eastAsia="方正仿宋_GBK" w:cs="Times New Roman"/>
          <w:b w:val="0"/>
          <w:bCs w:val="0"/>
          <w:color w:val="auto"/>
          <w:sz w:val="32"/>
          <w:szCs w:val="32"/>
          <w:highlight w:val="none"/>
          <w:lang w:val="en-US" w:eastAsia="zh-CN"/>
        </w:rPr>
        <w:t>≥</w:t>
      </w:r>
      <w:r>
        <w:rPr>
          <w:rFonts w:hint="default" w:ascii="Times New Roman" w:hAnsi="Times New Roman" w:eastAsia="方正仿宋_GBK" w:cs="Times New Roman"/>
          <w:b w:val="0"/>
          <w:bCs w:val="0"/>
          <w:color w:val="auto"/>
          <w:sz w:val="32"/>
          <w:szCs w:val="32"/>
          <w:highlight w:val="none"/>
          <w:lang w:eastAsia="zh-CN"/>
        </w:rPr>
        <w:t>75%，支持油菜生产面积</w:t>
      </w:r>
      <w:r>
        <w:rPr>
          <w:rFonts w:hint="default" w:ascii="Times New Roman" w:hAnsi="Times New Roman" w:eastAsia="方正仿宋_GBK" w:cs="Times New Roman"/>
          <w:b w:val="0"/>
          <w:bCs w:val="0"/>
          <w:color w:val="auto"/>
          <w:sz w:val="32"/>
          <w:szCs w:val="32"/>
          <w:highlight w:val="none"/>
          <w:lang w:val="en-US" w:eastAsia="zh-CN"/>
        </w:rPr>
        <w:t>4</w:t>
      </w:r>
      <w:r>
        <w:rPr>
          <w:rFonts w:hint="eastAsia" w:ascii="Times New Roman" w:hAnsi="Times New Roman" w:eastAsia="方正仿宋_GBK" w:cs="Times New Roman"/>
          <w:b w:val="0"/>
          <w:bCs w:val="0"/>
          <w:color w:val="auto"/>
          <w:sz w:val="32"/>
          <w:szCs w:val="32"/>
          <w:highlight w:val="none"/>
          <w:lang w:val="en-US" w:eastAsia="zh-CN"/>
        </w:rPr>
        <w:t>2</w:t>
      </w:r>
      <w:r>
        <w:rPr>
          <w:rFonts w:hint="default" w:ascii="Times New Roman" w:hAnsi="Times New Roman" w:eastAsia="方正仿宋_GBK" w:cs="Times New Roman"/>
          <w:b w:val="0"/>
          <w:bCs w:val="0"/>
          <w:color w:val="auto"/>
          <w:sz w:val="32"/>
          <w:szCs w:val="32"/>
          <w:highlight w:val="none"/>
          <w:lang w:val="en-US" w:eastAsia="zh-CN"/>
        </w:rPr>
        <w:t>8万亩，大豆玉米带状复合种植任务面积70万亩，重点作物绿色高产高效创建县</w:t>
      </w:r>
      <w:r>
        <w:rPr>
          <w:rFonts w:hint="eastAsia" w:ascii="Times New Roman" w:hAnsi="Times New Roman" w:eastAsia="方正仿宋_GBK" w:cs="Times New Roman"/>
          <w:b w:val="0"/>
          <w:bCs w:val="0"/>
          <w:color w:val="auto"/>
          <w:sz w:val="32"/>
          <w:szCs w:val="32"/>
          <w:highlight w:val="none"/>
          <w:lang w:val="en-US" w:eastAsia="zh-CN"/>
        </w:rPr>
        <w:t>44</w:t>
      </w:r>
      <w:r>
        <w:rPr>
          <w:rFonts w:hint="default" w:ascii="Times New Roman" w:hAnsi="Times New Roman" w:eastAsia="方正仿宋_GBK" w:cs="Times New Roman"/>
          <w:b w:val="0"/>
          <w:bCs w:val="0"/>
          <w:color w:val="auto"/>
          <w:sz w:val="32"/>
          <w:szCs w:val="32"/>
          <w:highlight w:val="none"/>
          <w:lang w:val="en-US" w:eastAsia="zh-CN"/>
        </w:rPr>
        <w:t>个，大豆玉米小麦油菜水稻单产提升整建制推进县20个，</w:t>
      </w:r>
      <w:r>
        <w:rPr>
          <w:rFonts w:hint="default" w:ascii="Times New Roman" w:hAnsi="Times New Roman" w:eastAsia="方正仿宋_GBK" w:cs="Times New Roman"/>
          <w:b w:val="0"/>
          <w:bCs w:val="0"/>
          <w:color w:val="auto"/>
          <w:sz w:val="32"/>
          <w:szCs w:val="32"/>
          <w:highlight w:val="none"/>
          <w:lang w:eastAsia="zh-CN"/>
        </w:rPr>
        <w:t>集成推广绿色高质高效模式</w:t>
      </w:r>
      <w:r>
        <w:rPr>
          <w:rFonts w:hint="eastAsia" w:ascii="Times New Roman" w:hAnsi="Times New Roman" w:eastAsia="方正仿宋_GBK" w:cs="Times New Roman"/>
          <w:b w:val="0"/>
          <w:bCs w:val="0"/>
          <w:color w:val="auto"/>
          <w:sz w:val="32"/>
          <w:szCs w:val="32"/>
          <w:highlight w:val="none"/>
          <w:lang w:val="en-US" w:eastAsia="zh-CN"/>
        </w:rPr>
        <w:t>12</w:t>
      </w:r>
      <w:r>
        <w:rPr>
          <w:rFonts w:hint="default" w:ascii="Times New Roman" w:hAnsi="Times New Roman" w:eastAsia="方正仿宋_GBK" w:cs="Times New Roman"/>
          <w:b w:val="0"/>
          <w:bCs w:val="0"/>
          <w:color w:val="auto"/>
          <w:sz w:val="32"/>
          <w:szCs w:val="32"/>
          <w:highlight w:val="none"/>
          <w:lang w:val="en-US" w:eastAsia="zh-CN"/>
        </w:rPr>
        <w:t>套</w:t>
      </w:r>
      <w:r>
        <w:rPr>
          <w:rFonts w:hint="eastAsia" w:ascii="Times New Roman" w:hAnsi="Times New Roman" w:eastAsia="方正仿宋_GBK" w:cs="Times New Roman"/>
          <w:b w:val="0"/>
          <w:bCs w:val="0"/>
          <w:color w:val="auto"/>
          <w:sz w:val="32"/>
          <w:szCs w:val="32"/>
          <w:highlight w:val="none"/>
          <w:lang w:val="en-US" w:eastAsia="zh-CN"/>
        </w:rPr>
        <w:t>，水肥一体化技术示范12</w:t>
      </w:r>
      <w:r>
        <w:rPr>
          <w:rFonts w:hint="default" w:ascii="Times New Roman" w:hAnsi="Times New Roman" w:eastAsia="方正仿宋_GBK" w:cs="Times New Roman"/>
          <w:b w:val="0"/>
          <w:bCs w:val="0"/>
          <w:color w:val="auto"/>
          <w:sz w:val="32"/>
          <w:szCs w:val="32"/>
          <w:highlight w:val="none"/>
          <w:lang w:val="en-US" w:eastAsia="zh-CN"/>
        </w:rPr>
        <w:t>万亩</w:t>
      </w:r>
      <w:r>
        <w:rPr>
          <w:rFonts w:hint="eastAsia" w:ascii="Times New Roman" w:hAnsi="Times New Roman" w:eastAsia="方正仿宋_GBK" w:cs="Times New Roman"/>
          <w:b w:val="0"/>
          <w:bCs w:val="0"/>
          <w:color w:val="auto"/>
          <w:sz w:val="32"/>
          <w:szCs w:val="32"/>
          <w:highlight w:val="none"/>
          <w:lang w:val="en-US" w:eastAsia="zh-CN"/>
        </w:rPr>
        <w:t>。</w:t>
      </w:r>
    </w:p>
    <w:p w14:paraId="2789260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（2）质量指标：重点作物绿色高产高效项目区节本增效水平≥5%</w:t>
      </w:r>
    </w:p>
    <w:p w14:paraId="680A834E">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3</w:t>
      </w:r>
      <w:r>
        <w:rPr>
          <w:rFonts w:hint="default" w:ascii="Times New Roman" w:hAnsi="Times New Roman" w:eastAsia="方正仿宋_GBK" w:cs="Times New Roman"/>
          <w:b w:val="0"/>
          <w:bCs w:val="0"/>
          <w:color w:val="auto"/>
          <w:sz w:val="32"/>
          <w:szCs w:val="32"/>
          <w:highlight w:val="none"/>
          <w:lang w:eastAsia="zh-CN"/>
        </w:rPr>
        <w:t>）时效指标：小麦“一喷三防”措施落实完成时限</w:t>
      </w:r>
      <w:r>
        <w:rPr>
          <w:rFonts w:hint="default" w:ascii="Times New Roman" w:hAnsi="Times New Roman" w:eastAsia="方正仿宋_GBK" w:cs="Times New Roman"/>
          <w:b w:val="0"/>
          <w:bCs w:val="0"/>
          <w:color w:val="auto"/>
          <w:sz w:val="32"/>
          <w:szCs w:val="32"/>
          <w:highlight w:val="none"/>
          <w:lang w:val="en-US" w:eastAsia="zh-CN"/>
        </w:rPr>
        <w:t>6月30日</w:t>
      </w:r>
      <w:r>
        <w:rPr>
          <w:rFonts w:hint="default" w:ascii="Times New Roman" w:hAnsi="Times New Roman" w:eastAsia="方正仿宋_GBK" w:cs="Times New Roman"/>
          <w:b w:val="0"/>
          <w:bCs w:val="0"/>
          <w:color w:val="auto"/>
          <w:sz w:val="32"/>
          <w:szCs w:val="32"/>
          <w:highlight w:val="none"/>
          <w:lang w:eastAsia="zh-CN"/>
        </w:rPr>
        <w:t>。</w:t>
      </w:r>
    </w:p>
    <w:p w14:paraId="68A82C88">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4</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社会效益指标：无资金使用重大违规违纪问题</w:t>
      </w:r>
      <w:r>
        <w:rPr>
          <w:rFonts w:hint="eastAsia" w:ascii="Times New Roman" w:hAnsi="Times New Roman" w:eastAsia="方正仿宋_GBK" w:cs="Times New Roman"/>
          <w:b w:val="0"/>
          <w:bCs w:val="0"/>
          <w:color w:val="auto"/>
          <w:sz w:val="32"/>
          <w:szCs w:val="32"/>
          <w:highlight w:val="none"/>
          <w:lang w:val="en-US" w:eastAsia="zh-CN"/>
        </w:rPr>
        <w:t>，</w:t>
      </w:r>
      <w:r>
        <w:rPr>
          <w:rFonts w:hint="default" w:ascii="Times New Roman" w:hAnsi="Times New Roman" w:eastAsia="方正仿宋_GBK" w:cs="Times New Roman"/>
          <w:b w:val="0"/>
          <w:bCs w:val="0"/>
          <w:color w:val="auto"/>
          <w:sz w:val="32"/>
          <w:szCs w:val="32"/>
          <w:highlight w:val="none"/>
          <w:lang w:val="en-US" w:eastAsia="zh-CN"/>
        </w:rPr>
        <w:t>防病治虫增产效果为危害损失率≤4%。</w:t>
      </w:r>
    </w:p>
    <w:p w14:paraId="6F1E906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黑体_GBK" w:cs="Times New Roman"/>
          <w:b w:val="0"/>
          <w:bCs w:val="0"/>
          <w:kern w:val="2"/>
          <w:sz w:val="32"/>
          <w:szCs w:val="32"/>
          <w:lang w:val="en-US" w:eastAsia="zh-CN" w:bidi="ar-SA"/>
        </w:rPr>
      </w:pP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5）</w:t>
      </w:r>
      <w:r>
        <w:rPr>
          <w:rFonts w:hint="default" w:ascii="Times New Roman" w:hAnsi="Times New Roman" w:eastAsia="方正仿宋_GBK" w:cs="Times New Roman"/>
          <w:b w:val="0"/>
          <w:bCs w:val="0"/>
          <w:color w:val="auto"/>
          <w:sz w:val="32"/>
          <w:szCs w:val="32"/>
          <w:highlight w:val="none"/>
          <w:lang w:eastAsia="zh-CN"/>
        </w:rPr>
        <w:t>服务对象满意度指标：指导服务对象满意度≥</w:t>
      </w:r>
      <w:r>
        <w:rPr>
          <w:rFonts w:hint="default" w:ascii="Times New Roman" w:hAnsi="Times New Roman" w:eastAsia="方正仿宋_GBK" w:cs="Times New Roman"/>
          <w:b w:val="0"/>
          <w:bCs w:val="0"/>
          <w:color w:val="auto"/>
          <w:sz w:val="32"/>
          <w:szCs w:val="32"/>
          <w:highlight w:val="none"/>
          <w:lang w:val="en-US" w:eastAsia="zh-CN"/>
        </w:rPr>
        <w:t>85%。</w:t>
      </w:r>
    </w:p>
    <w:p w14:paraId="33E3A2A4">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黑体_GBK" w:cs="Times New Roman"/>
          <w:b w:val="0"/>
          <w:bCs w:val="0"/>
          <w:kern w:val="2"/>
          <w:sz w:val="32"/>
          <w:szCs w:val="32"/>
          <w:lang w:val="en-US" w:eastAsia="zh-CN" w:bidi="ar-SA"/>
        </w:rPr>
      </w:pPr>
      <w:r>
        <w:rPr>
          <w:rFonts w:hint="default" w:ascii="Times New Roman" w:hAnsi="Times New Roman" w:eastAsia="方正黑体_GBK" w:cs="Times New Roman"/>
          <w:b w:val="0"/>
          <w:bCs w:val="0"/>
          <w:kern w:val="2"/>
          <w:sz w:val="32"/>
          <w:szCs w:val="32"/>
          <w:lang w:val="en-US" w:eastAsia="zh-CN" w:bidi="ar-SA"/>
        </w:rPr>
        <w:t>二、绩效情况分析</w:t>
      </w:r>
    </w:p>
    <w:p w14:paraId="7AF12102">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楷体_GBK" w:cs="Times New Roman"/>
          <w:snapToGrid/>
          <w:color w:val="000000"/>
          <w:kern w:val="2"/>
          <w:sz w:val="32"/>
          <w:szCs w:val="32"/>
          <w:lang w:val="en-US" w:eastAsia="zh-CN" w:bidi="ar-SA"/>
        </w:rPr>
      </w:pPr>
      <w:r>
        <w:rPr>
          <w:rFonts w:hint="default" w:ascii="Times New Roman" w:hAnsi="Times New Roman" w:eastAsia="方正楷体_GBK" w:cs="Times New Roman"/>
          <w:snapToGrid/>
          <w:color w:val="000000"/>
          <w:kern w:val="2"/>
          <w:sz w:val="32"/>
          <w:szCs w:val="32"/>
          <w:lang w:val="en-US" w:eastAsia="zh-CN" w:bidi="ar-SA"/>
        </w:rPr>
        <w:t>（一）资金投入情况分析</w:t>
      </w:r>
    </w:p>
    <w:p w14:paraId="2A2B53F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1.项目资金到位情况分析</w:t>
      </w:r>
    </w:p>
    <w:p w14:paraId="13F412D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2025年，</w:t>
      </w:r>
      <w:r>
        <w:rPr>
          <w:rFonts w:hint="default" w:ascii="Times New Roman" w:hAnsi="Times New Roman" w:eastAsia="方正仿宋_GBK" w:cs="Times New Roman"/>
          <w:b w:val="0"/>
          <w:bCs w:val="0"/>
          <w:color w:val="auto"/>
          <w:sz w:val="32"/>
          <w:szCs w:val="32"/>
          <w:highlight w:val="none"/>
          <w:lang w:eastAsia="zh-CN"/>
        </w:rPr>
        <w:t>中央下达云南省20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年中央粮油生产保障资金</w:t>
      </w:r>
      <w:r>
        <w:rPr>
          <w:rFonts w:hint="default" w:ascii="Times New Roman" w:hAnsi="Times New Roman" w:eastAsia="方正仿宋_GBK" w:cs="Times New Roman"/>
          <w:b w:val="0"/>
          <w:bCs w:val="0"/>
          <w:color w:val="auto"/>
          <w:sz w:val="32"/>
          <w:szCs w:val="32"/>
          <w:highlight w:val="none"/>
          <w:lang w:val="en-US" w:eastAsia="zh-CN"/>
        </w:rPr>
        <w:t>31134</w:t>
      </w:r>
      <w:r>
        <w:rPr>
          <w:rFonts w:hint="default" w:ascii="Times New Roman" w:hAnsi="Times New Roman" w:eastAsia="方正仿宋_GBK" w:cs="Times New Roman"/>
          <w:b w:val="0"/>
          <w:bCs w:val="0"/>
          <w:color w:val="auto"/>
          <w:sz w:val="32"/>
          <w:szCs w:val="32"/>
          <w:highlight w:val="none"/>
          <w:lang w:eastAsia="zh-CN"/>
        </w:rPr>
        <w:t>万元，我省以《云南省财政厅关于提前下达2025年中央农业相关转移支付资金的通知》（云财农〔202</w:t>
      </w:r>
      <w:r>
        <w:rPr>
          <w:rFonts w:hint="default" w:ascii="Times New Roman" w:hAnsi="Times New Roman" w:eastAsia="方正仿宋_GBK" w:cs="Times New Roman"/>
          <w:b w:val="0"/>
          <w:bCs w:val="0"/>
          <w:color w:val="auto"/>
          <w:sz w:val="32"/>
          <w:szCs w:val="32"/>
          <w:highlight w:val="none"/>
          <w:lang w:val="en-US" w:eastAsia="zh-CN"/>
        </w:rPr>
        <w:t>4</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167</w:t>
      </w:r>
      <w:r>
        <w:rPr>
          <w:rFonts w:hint="default" w:ascii="Times New Roman" w:hAnsi="Times New Roman" w:eastAsia="方正仿宋_GBK" w:cs="Times New Roman"/>
          <w:b w:val="0"/>
          <w:bCs w:val="0"/>
          <w:color w:val="auto"/>
          <w:sz w:val="32"/>
          <w:szCs w:val="32"/>
          <w:highlight w:val="none"/>
          <w:lang w:eastAsia="zh-CN"/>
        </w:rPr>
        <w:t>号）《云南省财政厅关于下达中央粮油生产保障资金（第二批）的通知》（云财农〔20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60</w:t>
      </w:r>
      <w:r>
        <w:rPr>
          <w:rFonts w:hint="default" w:ascii="Times New Roman" w:hAnsi="Times New Roman" w:eastAsia="方正仿宋_GBK" w:cs="Times New Roman"/>
          <w:b w:val="0"/>
          <w:bCs w:val="0"/>
          <w:color w:val="auto"/>
          <w:sz w:val="32"/>
          <w:szCs w:val="32"/>
          <w:highlight w:val="none"/>
          <w:lang w:eastAsia="zh-CN"/>
        </w:rPr>
        <w:t>号），将中央资金</w:t>
      </w:r>
      <w:r>
        <w:rPr>
          <w:rFonts w:hint="default" w:ascii="Times New Roman" w:hAnsi="Times New Roman" w:eastAsia="方正仿宋_GBK" w:cs="Times New Roman"/>
          <w:b w:val="0"/>
          <w:bCs w:val="0"/>
          <w:color w:val="auto"/>
          <w:sz w:val="32"/>
          <w:szCs w:val="32"/>
          <w:highlight w:val="none"/>
          <w:lang w:val="en-US" w:eastAsia="zh-CN"/>
        </w:rPr>
        <w:t>31134</w:t>
      </w:r>
      <w:r>
        <w:rPr>
          <w:rFonts w:hint="default" w:ascii="Times New Roman" w:hAnsi="Times New Roman" w:eastAsia="方正仿宋_GBK" w:cs="Times New Roman"/>
          <w:b w:val="0"/>
          <w:bCs w:val="0"/>
          <w:color w:val="auto"/>
          <w:sz w:val="32"/>
          <w:szCs w:val="32"/>
          <w:highlight w:val="none"/>
          <w:lang w:eastAsia="zh-CN"/>
        </w:rPr>
        <w:t>万元，全部下达至各地，资金</w:t>
      </w:r>
      <w:r>
        <w:rPr>
          <w:rFonts w:hint="default" w:ascii="Times New Roman" w:hAnsi="Times New Roman" w:eastAsia="方正仿宋_GBK" w:cs="Times New Roman"/>
          <w:b w:val="0"/>
          <w:bCs w:val="0"/>
          <w:color w:val="auto"/>
          <w:sz w:val="32"/>
          <w:szCs w:val="32"/>
          <w:highlight w:val="none"/>
          <w:lang w:val="en-US" w:eastAsia="zh-CN"/>
        </w:rPr>
        <w:t>到位率100%</w:t>
      </w:r>
      <w:r>
        <w:rPr>
          <w:rFonts w:hint="default" w:ascii="Times New Roman" w:hAnsi="Times New Roman" w:eastAsia="方正仿宋_GBK" w:cs="Times New Roman"/>
          <w:b w:val="0"/>
          <w:bCs w:val="0"/>
          <w:color w:val="auto"/>
          <w:sz w:val="32"/>
          <w:szCs w:val="32"/>
          <w:highlight w:val="none"/>
          <w:lang w:eastAsia="zh-CN"/>
        </w:rPr>
        <w:t>。其中按照国家要求，大豆玉米带状复合种植省级需按照</w:t>
      </w:r>
      <w:r>
        <w:rPr>
          <w:rFonts w:hint="default" w:ascii="Times New Roman" w:hAnsi="Times New Roman" w:eastAsia="方正仿宋_GBK" w:cs="Times New Roman"/>
          <w:b w:val="0"/>
          <w:bCs w:val="0"/>
          <w:color w:val="auto"/>
          <w:sz w:val="32"/>
          <w:szCs w:val="32"/>
          <w:highlight w:val="none"/>
          <w:lang w:val="en-US" w:eastAsia="zh-CN"/>
        </w:rPr>
        <w:t>50元/亩配套经费，需配套资金3500万元，云南省根据本省实际，以《云南省财政厅关于下达省级农业发展专项资金的通知》（云财农〔2025〕34号），将省级配套资金3500万元，全部下达至各地，资金到位率100%。</w:t>
      </w:r>
    </w:p>
    <w:p w14:paraId="7806557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val="en-US" w:eastAsia="zh-CN"/>
        </w:rPr>
        <w:t>2.项目资金执行情况分析</w:t>
      </w:r>
    </w:p>
    <w:p w14:paraId="6A3FD5F5">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default" w:ascii="Times New Roman" w:hAnsi="Times New Roman" w:eastAsia="方正仿宋_GBK" w:cs="Times New Roman"/>
          <w:color w:val="auto"/>
          <w:sz w:val="32"/>
          <w:szCs w:val="32"/>
          <w:highlight w:val="none"/>
          <w:lang w:eastAsia="zh-CN"/>
        </w:rPr>
      </w:pPr>
      <w:r>
        <w:rPr>
          <w:rFonts w:hint="eastAsia" w:ascii="Times New Roman" w:hAnsi="Times New Roman" w:eastAsia="方正仿宋_GBK" w:cs="Times New Roman"/>
          <w:bCs/>
          <w:color w:val="auto"/>
          <w:sz w:val="32"/>
          <w:szCs w:val="32"/>
          <w:highlight w:val="none"/>
          <w:lang w:val="en-US" w:eastAsia="zh-CN"/>
        </w:rPr>
        <w:t>根据转移支付平台统计数据显示，</w:t>
      </w:r>
      <w:r>
        <w:rPr>
          <w:rFonts w:hint="default" w:ascii="Times New Roman" w:hAnsi="Times New Roman" w:eastAsia="方正仿宋_GBK" w:cs="Times New Roman"/>
          <w:bCs/>
          <w:color w:val="auto"/>
          <w:sz w:val="32"/>
          <w:szCs w:val="32"/>
          <w:highlight w:val="none"/>
        </w:rPr>
        <w:t>截</w:t>
      </w:r>
      <w:r>
        <w:rPr>
          <w:rFonts w:hint="default" w:ascii="Times New Roman" w:hAnsi="Times New Roman" w:eastAsia="方正仿宋_GBK" w:cs="Times New Roman"/>
          <w:bCs/>
          <w:color w:val="auto"/>
          <w:sz w:val="32"/>
          <w:szCs w:val="32"/>
          <w:highlight w:val="none"/>
          <w:lang w:eastAsia="zh-CN"/>
        </w:rPr>
        <w:t>至绩效评价日</w:t>
      </w:r>
      <w:r>
        <w:rPr>
          <w:rFonts w:hint="default" w:ascii="Times New Roman" w:hAnsi="Times New Roman" w:eastAsia="方正仿宋_GBK" w:cs="Times New Roman"/>
          <w:bCs/>
          <w:color w:val="auto"/>
          <w:sz w:val="32"/>
          <w:szCs w:val="32"/>
          <w:highlight w:val="none"/>
        </w:rPr>
        <w:t>，我省</w:t>
      </w:r>
      <w:r>
        <w:rPr>
          <w:rFonts w:hint="default" w:ascii="Times New Roman" w:hAnsi="Times New Roman" w:eastAsia="方正仿宋_GBK" w:cs="Times New Roman"/>
          <w:bCs/>
          <w:color w:val="auto"/>
          <w:sz w:val="32"/>
          <w:szCs w:val="32"/>
          <w:highlight w:val="none"/>
          <w:lang w:eastAsia="zh-CN"/>
        </w:rPr>
        <w:t>粮油生产保障</w:t>
      </w:r>
      <w:r>
        <w:rPr>
          <w:rFonts w:hint="default" w:ascii="Times New Roman" w:hAnsi="Times New Roman" w:eastAsia="方正仿宋_GBK" w:cs="Times New Roman"/>
          <w:bCs/>
          <w:color w:val="auto"/>
          <w:sz w:val="32"/>
          <w:szCs w:val="32"/>
          <w:highlight w:val="none"/>
        </w:rPr>
        <w:t>资金</w:t>
      </w:r>
      <w:r>
        <w:rPr>
          <w:rFonts w:hint="default" w:ascii="Times New Roman" w:hAnsi="Times New Roman" w:eastAsia="方正仿宋_GBK" w:cs="Times New Roman"/>
          <w:bCs/>
          <w:color w:val="auto"/>
          <w:sz w:val="32"/>
          <w:szCs w:val="32"/>
          <w:highlight w:val="none"/>
          <w:lang w:eastAsia="zh-CN"/>
        </w:rPr>
        <w:t>支出</w:t>
      </w:r>
      <w:r>
        <w:rPr>
          <w:rFonts w:hint="default" w:ascii="Times New Roman" w:hAnsi="Times New Roman" w:eastAsia="方正仿宋_GBK" w:cs="Times New Roman"/>
          <w:b w:val="0"/>
          <w:bCs w:val="0"/>
          <w:i w:val="0"/>
          <w:color w:val="auto"/>
          <w:kern w:val="0"/>
          <w:sz w:val="32"/>
          <w:szCs w:val="32"/>
          <w:highlight w:val="none"/>
          <w:u w:val="none"/>
          <w:lang w:val="en-US" w:eastAsia="zh-CN" w:bidi="ar"/>
        </w:rPr>
        <w:t>19423.16</w:t>
      </w:r>
      <w:r>
        <w:rPr>
          <w:rFonts w:hint="default" w:ascii="Times New Roman" w:hAnsi="Times New Roman" w:eastAsia="方正仿宋_GBK" w:cs="Times New Roman"/>
          <w:bCs/>
          <w:color w:val="auto"/>
          <w:sz w:val="32"/>
          <w:szCs w:val="32"/>
          <w:highlight w:val="none"/>
          <w:lang w:val="en-US" w:eastAsia="zh-CN"/>
        </w:rPr>
        <w:t>万元，</w:t>
      </w:r>
      <w:r>
        <w:rPr>
          <w:rFonts w:hint="default" w:ascii="Times New Roman" w:hAnsi="Times New Roman" w:eastAsia="方正仿宋_GBK" w:cs="Times New Roman"/>
          <w:bCs/>
          <w:color w:val="auto"/>
          <w:sz w:val="32"/>
          <w:szCs w:val="32"/>
          <w:highlight w:val="none"/>
          <w:lang w:eastAsia="zh-CN"/>
        </w:rPr>
        <w:t>执行</w:t>
      </w:r>
      <w:r>
        <w:rPr>
          <w:rFonts w:hint="default" w:ascii="Times New Roman" w:hAnsi="Times New Roman" w:eastAsia="方正仿宋_GBK" w:cs="Times New Roman"/>
          <w:bCs/>
          <w:color w:val="auto"/>
          <w:sz w:val="32"/>
          <w:szCs w:val="32"/>
          <w:highlight w:val="none"/>
        </w:rPr>
        <w:t>率</w:t>
      </w:r>
      <w:r>
        <w:rPr>
          <w:rFonts w:hint="default" w:ascii="Times New Roman" w:hAnsi="Times New Roman" w:eastAsia="方正仿宋_GBK" w:cs="Times New Roman"/>
          <w:bCs/>
          <w:color w:val="auto"/>
          <w:sz w:val="32"/>
          <w:szCs w:val="32"/>
          <w:highlight w:val="none"/>
          <w:lang w:val="en-US" w:eastAsia="zh-CN"/>
        </w:rPr>
        <w:t>56.08%</w:t>
      </w:r>
      <w:r>
        <w:rPr>
          <w:rFonts w:hint="default" w:ascii="Times New Roman" w:hAnsi="Times New Roman" w:eastAsia="方正仿宋_GBK" w:cs="Times New Roman"/>
          <w:bCs/>
          <w:color w:val="auto"/>
          <w:sz w:val="32"/>
          <w:szCs w:val="32"/>
          <w:highlight w:val="none"/>
          <w:lang w:eastAsia="zh-CN"/>
        </w:rPr>
        <w:t>。各项目</w:t>
      </w:r>
      <w:r>
        <w:rPr>
          <w:rFonts w:hint="default" w:ascii="Times New Roman" w:hAnsi="Times New Roman" w:eastAsia="方正仿宋_GBK" w:cs="Times New Roman"/>
          <w:bCs/>
          <w:color w:val="auto"/>
          <w:sz w:val="32"/>
          <w:szCs w:val="32"/>
          <w:highlight w:val="none"/>
        </w:rPr>
        <w:t>资金</w:t>
      </w:r>
      <w:r>
        <w:rPr>
          <w:rFonts w:hint="default" w:ascii="Times New Roman" w:hAnsi="Times New Roman" w:eastAsia="方正仿宋_GBK" w:cs="Times New Roman"/>
          <w:bCs/>
          <w:color w:val="auto"/>
          <w:sz w:val="32"/>
          <w:szCs w:val="32"/>
          <w:highlight w:val="none"/>
          <w:lang w:eastAsia="zh-CN"/>
        </w:rPr>
        <w:t>执行情况见下表。</w:t>
      </w:r>
    </w:p>
    <w:p w14:paraId="4E69012F">
      <w:pPr>
        <w:keepNext w:val="0"/>
        <w:keepLines w:val="0"/>
        <w:pageBreakBefore w:val="0"/>
        <w:widowControl w:val="0"/>
        <w:kinsoku/>
        <w:wordWrap/>
        <w:overflowPunct/>
        <w:topLinePunct w:val="0"/>
        <w:autoSpaceDE/>
        <w:autoSpaceDN/>
        <w:bidi w:val="0"/>
        <w:adjustRightInd/>
        <w:snapToGrid/>
        <w:spacing w:line="600" w:lineRule="exact"/>
        <w:ind w:left="0" w:right="0" w:rightChars="0"/>
        <w:jc w:val="center"/>
        <w:textAlignment w:val="auto"/>
        <w:outlineLvl w:val="9"/>
        <w:rPr>
          <w:rFonts w:hint="default"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lang w:val="en-US" w:eastAsia="zh-CN"/>
        </w:rPr>
        <w:t>云南省2025年度中央粮油生产保障资金使用情况表</w:t>
      </w:r>
    </w:p>
    <w:p w14:paraId="4025AC96">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default" w:ascii="Times New Roman" w:hAnsi="Times New Roman" w:eastAsia="仿宋_GB2312" w:cs="Times New Roman"/>
          <w:b w:val="0"/>
          <w:bCs w:val="0"/>
          <w:color w:val="auto"/>
          <w:sz w:val="24"/>
          <w:szCs w:val="24"/>
          <w:highlight w:val="none"/>
          <w:lang w:eastAsia="zh-CN"/>
        </w:rPr>
      </w:pPr>
      <w:r>
        <w:rPr>
          <w:rFonts w:hint="default" w:ascii="Times New Roman" w:hAnsi="Times New Roman" w:eastAsia="方正仿宋_GBK" w:cs="Times New Roman"/>
          <w:b w:val="0"/>
          <w:bCs w:val="0"/>
          <w:color w:val="auto"/>
          <w:sz w:val="28"/>
          <w:szCs w:val="28"/>
          <w:highlight w:val="none"/>
          <w:lang w:eastAsia="zh-CN"/>
        </w:rPr>
        <w:t>　　　　　　　　　　　　　　　　　　　　</w:t>
      </w:r>
      <w:r>
        <w:rPr>
          <w:rFonts w:hint="default" w:ascii="Times New Roman" w:hAnsi="Times New Roman" w:eastAsia="方正仿宋_GBK" w:cs="Times New Roman"/>
          <w:b w:val="0"/>
          <w:bCs w:val="0"/>
          <w:color w:val="auto"/>
          <w:sz w:val="28"/>
          <w:szCs w:val="28"/>
          <w:highlight w:val="none"/>
          <w:lang w:val="en-US" w:eastAsia="zh-CN"/>
        </w:rPr>
        <w:t xml:space="preserve">    </w:t>
      </w:r>
      <w:r>
        <w:rPr>
          <w:rFonts w:hint="default" w:ascii="Times New Roman" w:hAnsi="Times New Roman" w:eastAsia="方正仿宋_GBK" w:cs="Times New Roman"/>
          <w:b w:val="0"/>
          <w:bCs w:val="0"/>
          <w:color w:val="auto"/>
          <w:sz w:val="24"/>
          <w:szCs w:val="24"/>
          <w:highlight w:val="none"/>
          <w:lang w:val="en-US" w:eastAsia="zh-CN"/>
        </w:rPr>
        <w:t xml:space="preserve">  </w:t>
      </w:r>
      <w:r>
        <w:rPr>
          <w:rFonts w:hint="default" w:ascii="Times New Roman" w:hAnsi="Times New Roman" w:eastAsia="方正仿宋_GBK" w:cs="Times New Roman"/>
          <w:b w:val="0"/>
          <w:bCs w:val="0"/>
          <w:color w:val="auto"/>
          <w:sz w:val="24"/>
          <w:szCs w:val="24"/>
          <w:highlight w:val="none"/>
          <w:lang w:eastAsia="zh-CN"/>
        </w:rPr>
        <w:t>单位：万元</w:t>
      </w:r>
    </w:p>
    <w:tbl>
      <w:tblPr>
        <w:tblStyle w:val="7"/>
        <w:tblW w:w="8930" w:type="dxa"/>
        <w:jc w:val="center"/>
        <w:tblLayout w:type="fixed"/>
        <w:tblCellMar>
          <w:top w:w="0" w:type="dxa"/>
          <w:left w:w="0" w:type="dxa"/>
          <w:bottom w:w="0" w:type="dxa"/>
          <w:right w:w="0" w:type="dxa"/>
        </w:tblCellMar>
      </w:tblPr>
      <w:tblGrid>
        <w:gridCol w:w="704"/>
        <w:gridCol w:w="3292"/>
        <w:gridCol w:w="1294"/>
        <w:gridCol w:w="1079"/>
        <w:gridCol w:w="1479"/>
        <w:gridCol w:w="1082"/>
      </w:tblGrid>
      <w:tr w14:paraId="4AF32188">
        <w:tblPrEx>
          <w:tblCellMar>
            <w:top w:w="0" w:type="dxa"/>
            <w:left w:w="0" w:type="dxa"/>
            <w:bottom w:w="0" w:type="dxa"/>
            <w:right w:w="0" w:type="dxa"/>
          </w:tblCellMar>
        </w:tblPrEx>
        <w:trPr>
          <w:trHeight w:val="585" w:hRule="atLeast"/>
          <w:jc w:val="center"/>
        </w:trPr>
        <w:tc>
          <w:tcPr>
            <w:tcW w:w="704" w:type="dxa"/>
            <w:vMerge w:val="restar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608B48E">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bCs/>
                <w:i w:val="0"/>
                <w:color w:val="auto"/>
                <w:sz w:val="24"/>
                <w:szCs w:val="24"/>
                <w:highlight w:val="none"/>
                <w:u w:val="none"/>
              </w:rPr>
            </w:pPr>
            <w:r>
              <w:rPr>
                <w:rFonts w:hint="default" w:ascii="Times New Roman" w:hAnsi="Times New Roman" w:eastAsia="方正仿宋_GBK" w:cs="Times New Roman"/>
                <w:b/>
                <w:i w:val="0"/>
                <w:color w:val="auto"/>
                <w:kern w:val="0"/>
                <w:sz w:val="24"/>
                <w:szCs w:val="24"/>
                <w:highlight w:val="none"/>
                <w:u w:val="none"/>
                <w:lang w:val="en-US" w:eastAsia="zh-CN" w:bidi="ar"/>
              </w:rPr>
              <w:t>序号</w:t>
            </w:r>
          </w:p>
        </w:tc>
        <w:tc>
          <w:tcPr>
            <w:tcW w:w="3292" w:type="dxa"/>
            <w:vMerge w:val="restar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DE8B17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bCs/>
                <w:i w:val="0"/>
                <w:color w:val="auto"/>
                <w:sz w:val="24"/>
                <w:szCs w:val="24"/>
                <w:highlight w:val="none"/>
                <w:u w:val="none"/>
              </w:rPr>
            </w:pPr>
            <w:r>
              <w:rPr>
                <w:rFonts w:hint="default" w:ascii="Times New Roman" w:hAnsi="Times New Roman" w:eastAsia="方正仿宋_GBK" w:cs="Times New Roman"/>
                <w:b/>
                <w:i w:val="0"/>
                <w:color w:val="auto"/>
                <w:kern w:val="0"/>
                <w:sz w:val="24"/>
                <w:szCs w:val="24"/>
                <w:highlight w:val="none"/>
                <w:u w:val="none"/>
                <w:lang w:val="en-US" w:eastAsia="zh-CN" w:bidi="ar"/>
              </w:rPr>
              <w:t>项目资金名称</w:t>
            </w:r>
          </w:p>
        </w:tc>
        <w:tc>
          <w:tcPr>
            <w:tcW w:w="2373"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6B81D93">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bCs/>
                <w:i w:val="0"/>
                <w:color w:val="auto"/>
                <w:sz w:val="24"/>
                <w:szCs w:val="24"/>
                <w:highlight w:val="none"/>
                <w:u w:val="none"/>
              </w:rPr>
            </w:pPr>
            <w:r>
              <w:rPr>
                <w:rFonts w:hint="default" w:ascii="Times New Roman" w:hAnsi="Times New Roman" w:eastAsia="方正仿宋_GBK" w:cs="Times New Roman"/>
                <w:b/>
                <w:i w:val="0"/>
                <w:color w:val="auto"/>
                <w:kern w:val="0"/>
                <w:sz w:val="24"/>
                <w:szCs w:val="24"/>
                <w:highlight w:val="none"/>
                <w:u w:val="none"/>
                <w:lang w:val="en-US" w:eastAsia="zh-CN" w:bidi="ar"/>
              </w:rPr>
              <w:t>省级下达金额</w:t>
            </w:r>
          </w:p>
        </w:tc>
        <w:tc>
          <w:tcPr>
            <w:tcW w:w="1479" w:type="dxa"/>
            <w:vMerge w:val="restar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498B976">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bCs/>
                <w:i w:val="0"/>
                <w:color w:val="auto"/>
                <w:kern w:val="0"/>
                <w:sz w:val="24"/>
                <w:szCs w:val="24"/>
                <w:highlight w:val="none"/>
                <w:u w:val="none"/>
                <w:lang w:val="en-US" w:eastAsia="zh-CN" w:bidi="ar"/>
              </w:rPr>
            </w:pPr>
            <w:r>
              <w:rPr>
                <w:rFonts w:hint="default" w:ascii="Times New Roman" w:hAnsi="Times New Roman" w:eastAsia="方正仿宋_GBK" w:cs="Times New Roman"/>
                <w:b/>
                <w:i w:val="0"/>
                <w:color w:val="auto"/>
                <w:kern w:val="0"/>
                <w:sz w:val="24"/>
                <w:szCs w:val="24"/>
                <w:highlight w:val="none"/>
                <w:u w:val="none"/>
                <w:lang w:val="en-US" w:eastAsia="zh-CN" w:bidi="ar"/>
              </w:rPr>
              <w:t>资金支出金额</w:t>
            </w:r>
          </w:p>
        </w:tc>
        <w:tc>
          <w:tcPr>
            <w:tcW w:w="1082" w:type="dxa"/>
            <w:vMerge w:val="restar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01A12E6">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bCs/>
                <w:i w:val="0"/>
                <w:color w:val="auto"/>
                <w:kern w:val="0"/>
                <w:sz w:val="24"/>
                <w:szCs w:val="24"/>
                <w:highlight w:val="none"/>
                <w:u w:val="none"/>
                <w:lang w:val="en-US" w:eastAsia="zh-CN" w:bidi="ar"/>
              </w:rPr>
            </w:pPr>
            <w:r>
              <w:rPr>
                <w:rFonts w:hint="default" w:ascii="Times New Roman" w:hAnsi="Times New Roman" w:eastAsia="方正仿宋_GBK" w:cs="Times New Roman"/>
                <w:b/>
                <w:i w:val="0"/>
                <w:color w:val="auto"/>
                <w:kern w:val="0"/>
                <w:sz w:val="24"/>
                <w:szCs w:val="24"/>
                <w:highlight w:val="none"/>
                <w:u w:val="none"/>
                <w:lang w:val="en-US" w:eastAsia="zh-CN" w:bidi="ar"/>
              </w:rPr>
              <w:t>执行率</w:t>
            </w:r>
          </w:p>
        </w:tc>
      </w:tr>
      <w:tr w14:paraId="033D1506">
        <w:tblPrEx>
          <w:tblCellMar>
            <w:top w:w="0" w:type="dxa"/>
            <w:left w:w="0" w:type="dxa"/>
            <w:bottom w:w="0" w:type="dxa"/>
            <w:right w:w="0" w:type="dxa"/>
          </w:tblCellMar>
        </w:tblPrEx>
        <w:trPr>
          <w:trHeight w:val="405" w:hRule="atLeast"/>
          <w:jc w:val="center"/>
        </w:trPr>
        <w:tc>
          <w:tcPr>
            <w:tcW w:w="704"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674B7D5">
            <w:pPr>
              <w:keepNext w:val="0"/>
              <w:keepLines w:val="0"/>
              <w:pageBreakBefore w:val="0"/>
              <w:widowControl/>
              <w:kinsoku/>
              <w:wordWrap/>
              <w:overflowPunct/>
              <w:topLinePunct w:val="0"/>
              <w:autoSpaceDE/>
              <w:autoSpaceDN/>
              <w:bidi w:val="0"/>
              <w:adjustRightInd/>
              <w:snapToGrid/>
              <w:spacing w:line="600" w:lineRule="exact"/>
              <w:jc w:val="center"/>
              <w:rPr>
                <w:rFonts w:hint="default" w:ascii="Times New Roman" w:hAnsi="Times New Roman" w:eastAsia="方正仿宋_GBK" w:cs="Times New Roman"/>
                <w:i w:val="0"/>
                <w:color w:val="auto"/>
                <w:sz w:val="24"/>
                <w:szCs w:val="24"/>
                <w:highlight w:val="none"/>
                <w:u w:val="none"/>
              </w:rPr>
            </w:pPr>
          </w:p>
        </w:tc>
        <w:tc>
          <w:tcPr>
            <w:tcW w:w="329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BEB285B">
            <w:pPr>
              <w:keepNext w:val="0"/>
              <w:keepLines w:val="0"/>
              <w:pageBreakBefore w:val="0"/>
              <w:widowControl/>
              <w:kinsoku/>
              <w:wordWrap/>
              <w:overflowPunct/>
              <w:topLinePunct w:val="0"/>
              <w:autoSpaceDE/>
              <w:autoSpaceDN/>
              <w:bidi w:val="0"/>
              <w:adjustRightInd/>
              <w:snapToGrid/>
              <w:spacing w:line="600" w:lineRule="exact"/>
              <w:jc w:val="center"/>
              <w:rPr>
                <w:rFonts w:hint="default" w:ascii="Times New Roman" w:hAnsi="Times New Roman" w:eastAsia="方正仿宋_GBK" w:cs="Times New Roman"/>
                <w:i w:val="0"/>
                <w:color w:val="auto"/>
                <w:sz w:val="24"/>
                <w:szCs w:val="24"/>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1348DF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sz w:val="24"/>
                <w:szCs w:val="24"/>
                <w:highlight w:val="none"/>
                <w:u w:val="none"/>
                <w:lang w:val="en-US"/>
              </w:rPr>
            </w:pPr>
            <w:r>
              <w:rPr>
                <w:rFonts w:hint="default" w:ascii="Times New Roman" w:hAnsi="Times New Roman" w:eastAsia="方正仿宋_GBK" w:cs="Times New Roman"/>
                <w:b/>
                <w:i w:val="0"/>
                <w:color w:val="auto"/>
                <w:kern w:val="0"/>
                <w:sz w:val="24"/>
                <w:szCs w:val="24"/>
                <w:highlight w:val="none"/>
                <w:u w:val="none"/>
                <w:lang w:val="en-US" w:eastAsia="zh-CN" w:bidi="ar"/>
              </w:rPr>
              <w:t>中央资金</w:t>
            </w:r>
          </w:p>
        </w:tc>
        <w:tc>
          <w:tcPr>
            <w:tcW w:w="10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57C3E03">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b/>
                <w:i w:val="0"/>
                <w:color w:val="auto"/>
                <w:kern w:val="0"/>
                <w:sz w:val="24"/>
                <w:szCs w:val="24"/>
                <w:highlight w:val="none"/>
                <w:u w:val="none"/>
                <w:lang w:val="en-US" w:eastAsia="zh-CN" w:bidi="ar"/>
              </w:rPr>
              <w:t>省级配套</w:t>
            </w:r>
          </w:p>
        </w:tc>
        <w:tc>
          <w:tcPr>
            <w:tcW w:w="1479"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B2AAF8A">
            <w:pPr>
              <w:keepNext w:val="0"/>
              <w:keepLines w:val="0"/>
              <w:pageBreakBefore w:val="0"/>
              <w:widowControl/>
              <w:kinsoku/>
              <w:wordWrap/>
              <w:overflowPunct/>
              <w:topLinePunct w:val="0"/>
              <w:autoSpaceDE/>
              <w:autoSpaceDN/>
              <w:bidi w:val="0"/>
              <w:adjustRightInd/>
              <w:snapToGrid/>
              <w:spacing w:line="600" w:lineRule="exact"/>
              <w:jc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p>
        </w:tc>
        <w:tc>
          <w:tcPr>
            <w:tcW w:w="108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6226CED">
            <w:pPr>
              <w:keepNext w:val="0"/>
              <w:keepLines w:val="0"/>
              <w:pageBreakBefore w:val="0"/>
              <w:widowControl/>
              <w:kinsoku/>
              <w:wordWrap/>
              <w:overflowPunct/>
              <w:topLinePunct w:val="0"/>
              <w:autoSpaceDE/>
              <w:autoSpaceDN/>
              <w:bidi w:val="0"/>
              <w:adjustRightInd/>
              <w:snapToGrid/>
              <w:spacing w:line="600" w:lineRule="exact"/>
              <w:jc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p>
        </w:tc>
      </w:tr>
      <w:tr w14:paraId="539080D0">
        <w:tblPrEx>
          <w:tblCellMar>
            <w:top w:w="0" w:type="dxa"/>
            <w:left w:w="0" w:type="dxa"/>
            <w:bottom w:w="0" w:type="dxa"/>
            <w:right w:w="0" w:type="dxa"/>
          </w:tblCellMar>
        </w:tblPrEx>
        <w:trPr>
          <w:trHeight w:val="405"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81D61F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A6C58CB">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小麦“一喷三防”</w:t>
            </w:r>
          </w:p>
        </w:tc>
        <w:tc>
          <w:tcPr>
            <w:tcW w:w="129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D343070">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b w:val="0"/>
                <w:bCs w:val="0"/>
                <w:i w:val="0"/>
                <w:color w:val="auto"/>
                <w:sz w:val="24"/>
                <w:szCs w:val="24"/>
                <w:highlight w:val="none"/>
                <w:u w:val="none"/>
                <w:lang w:val="en-US"/>
              </w:rPr>
            </w:pPr>
            <w:r>
              <w:rPr>
                <w:rFonts w:hint="default" w:ascii="Times New Roman" w:hAnsi="Times New Roman" w:eastAsia="方正仿宋_GBK" w:cs="Times New Roman"/>
                <w:i w:val="0"/>
                <w:color w:val="auto"/>
                <w:kern w:val="0"/>
                <w:sz w:val="24"/>
                <w:szCs w:val="24"/>
                <w:highlight w:val="none"/>
                <w:u w:val="none"/>
                <w:lang w:val="en-US" w:eastAsia="zh-CN" w:bidi="ar"/>
              </w:rPr>
              <w:t>1744</w:t>
            </w:r>
          </w:p>
        </w:tc>
        <w:tc>
          <w:tcPr>
            <w:tcW w:w="10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D770842">
            <w:pPr>
              <w:keepNext w:val="0"/>
              <w:keepLines w:val="0"/>
              <w:pageBreakBefore w:val="0"/>
              <w:widowControl/>
              <w:kinsoku/>
              <w:wordWrap/>
              <w:overflowPunct/>
              <w:topLinePunct w:val="0"/>
              <w:autoSpaceDE/>
              <w:autoSpaceDN/>
              <w:bidi w:val="0"/>
              <w:adjustRightInd/>
              <w:snapToGrid/>
              <w:spacing w:line="600" w:lineRule="exact"/>
              <w:jc w:val="center"/>
              <w:rPr>
                <w:rFonts w:hint="default" w:ascii="Times New Roman" w:hAnsi="Times New Roman" w:eastAsia="方正仿宋_GBK" w:cs="Times New Roman"/>
                <w:color w:val="auto"/>
                <w:highlight w:val="none"/>
              </w:rPr>
            </w:pP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23163E0">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1317.95</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F9FFD3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75.57%</w:t>
            </w:r>
          </w:p>
        </w:tc>
      </w:tr>
      <w:tr w14:paraId="20E01259">
        <w:tblPrEx>
          <w:tblCellMar>
            <w:top w:w="0" w:type="dxa"/>
            <w:left w:w="0" w:type="dxa"/>
            <w:bottom w:w="0" w:type="dxa"/>
            <w:right w:w="0" w:type="dxa"/>
          </w:tblCellMar>
        </w:tblPrEx>
        <w:trPr>
          <w:trHeight w:val="461"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685CD5">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2</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B179EDC">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粮油等重点作物绿色高产高效（粮油）</w:t>
            </w:r>
          </w:p>
        </w:tc>
        <w:tc>
          <w:tcPr>
            <w:tcW w:w="129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981E20E">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10990</w:t>
            </w:r>
          </w:p>
        </w:tc>
        <w:tc>
          <w:tcPr>
            <w:tcW w:w="10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D9F1DDF">
            <w:pPr>
              <w:keepNext w:val="0"/>
              <w:keepLines w:val="0"/>
              <w:pageBreakBefore w:val="0"/>
              <w:widowControl/>
              <w:kinsoku/>
              <w:wordWrap/>
              <w:overflowPunct/>
              <w:topLinePunct w:val="0"/>
              <w:autoSpaceDE/>
              <w:autoSpaceDN/>
              <w:bidi w:val="0"/>
              <w:adjustRightInd/>
              <w:snapToGrid/>
              <w:spacing w:line="600" w:lineRule="exact"/>
              <w:jc w:val="center"/>
              <w:rPr>
                <w:rFonts w:hint="default" w:ascii="Times New Roman" w:hAnsi="Times New Roman" w:eastAsia="方正仿宋_GBK" w:cs="Times New Roman"/>
                <w:color w:val="auto"/>
                <w:highlight w:val="none"/>
              </w:rPr>
            </w:pP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DC8137D">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4835.96</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D0CBAB7">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44%</w:t>
            </w:r>
          </w:p>
        </w:tc>
      </w:tr>
      <w:tr w14:paraId="7249860A">
        <w:tblPrEx>
          <w:tblCellMar>
            <w:top w:w="0" w:type="dxa"/>
            <w:left w:w="0" w:type="dxa"/>
            <w:bottom w:w="0" w:type="dxa"/>
            <w:right w:w="0" w:type="dxa"/>
          </w:tblCellMar>
        </w:tblPrEx>
        <w:trPr>
          <w:trHeight w:val="443"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B266865">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538BF14">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粮油等重点作物绿色高产高效（菜药）</w:t>
            </w:r>
          </w:p>
        </w:tc>
        <w:tc>
          <w:tcPr>
            <w:tcW w:w="129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107B034">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700</w:t>
            </w:r>
          </w:p>
        </w:tc>
        <w:tc>
          <w:tcPr>
            <w:tcW w:w="10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8E7D161">
            <w:pPr>
              <w:keepNext w:val="0"/>
              <w:keepLines w:val="0"/>
              <w:pageBreakBefore w:val="0"/>
              <w:widowControl/>
              <w:kinsoku/>
              <w:wordWrap/>
              <w:overflowPunct/>
              <w:topLinePunct w:val="0"/>
              <w:autoSpaceDE/>
              <w:autoSpaceDN/>
              <w:bidi w:val="0"/>
              <w:adjustRightInd/>
              <w:snapToGrid/>
              <w:spacing w:line="600" w:lineRule="exact"/>
              <w:jc w:val="center"/>
              <w:rPr>
                <w:rFonts w:hint="default" w:ascii="Times New Roman" w:hAnsi="Times New Roman" w:eastAsia="方正仿宋_GBK" w:cs="Times New Roman"/>
                <w:color w:val="auto"/>
                <w:highlight w:val="none"/>
              </w:rPr>
            </w:pP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E3526D4">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132</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B08112F">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18.86%</w:t>
            </w:r>
          </w:p>
        </w:tc>
      </w:tr>
      <w:tr w14:paraId="6F6A59F3">
        <w:tblPrEx>
          <w:tblCellMar>
            <w:top w:w="0" w:type="dxa"/>
            <w:left w:w="0" w:type="dxa"/>
            <w:bottom w:w="0" w:type="dxa"/>
            <w:right w:w="0" w:type="dxa"/>
          </w:tblCellMar>
        </w:tblPrEx>
        <w:trPr>
          <w:trHeight w:val="508"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11DFB4A">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4</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7DF3727">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扩种油菜</w:t>
            </w:r>
          </w:p>
        </w:tc>
        <w:tc>
          <w:tcPr>
            <w:tcW w:w="129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EADF0C9">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7200</w:t>
            </w:r>
          </w:p>
        </w:tc>
        <w:tc>
          <w:tcPr>
            <w:tcW w:w="10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720E8FB">
            <w:pPr>
              <w:keepNext w:val="0"/>
              <w:keepLines w:val="0"/>
              <w:pageBreakBefore w:val="0"/>
              <w:widowControl/>
              <w:kinsoku/>
              <w:wordWrap/>
              <w:overflowPunct/>
              <w:topLinePunct w:val="0"/>
              <w:autoSpaceDE/>
              <w:autoSpaceDN/>
              <w:bidi w:val="0"/>
              <w:adjustRightInd/>
              <w:snapToGrid/>
              <w:spacing w:line="600" w:lineRule="exact"/>
              <w:jc w:val="center"/>
              <w:rPr>
                <w:rFonts w:hint="default" w:ascii="Times New Roman" w:hAnsi="Times New Roman" w:eastAsia="方正仿宋_GBK" w:cs="Times New Roman"/>
                <w:color w:val="auto"/>
                <w:highlight w:val="none"/>
              </w:rPr>
            </w:pP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E9155E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4335.21</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B8565C7">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default" w:ascii="Times New Roman" w:hAnsi="Times New Roman" w:eastAsia="方正仿宋_GBK" w:cs="Times New Roman"/>
                <w:b w:val="0"/>
                <w:bCs w:val="0"/>
                <w:i w:val="0"/>
                <w:color w:val="auto"/>
                <w:kern w:val="0"/>
                <w:sz w:val="24"/>
                <w:szCs w:val="24"/>
                <w:highlight w:val="none"/>
                <w:u w:val="none"/>
                <w:lang w:val="en-US" w:eastAsia="zh-CN" w:bidi="ar"/>
              </w:rPr>
              <w:t>60.21%</w:t>
            </w:r>
          </w:p>
        </w:tc>
      </w:tr>
      <w:tr w14:paraId="20F3A1A2">
        <w:tblPrEx>
          <w:tblCellMar>
            <w:top w:w="0" w:type="dxa"/>
            <w:left w:w="0" w:type="dxa"/>
            <w:bottom w:w="0" w:type="dxa"/>
            <w:right w:w="0" w:type="dxa"/>
          </w:tblCellMar>
        </w:tblPrEx>
        <w:trPr>
          <w:trHeight w:val="518"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8E1E53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i w:val="0"/>
                <w:color w:val="auto"/>
                <w:sz w:val="24"/>
                <w:szCs w:val="24"/>
                <w:highlight w:val="none"/>
                <w:u w:val="none"/>
                <w:lang w:eastAsia="zh-CN"/>
              </w:rPr>
            </w:pPr>
            <w:r>
              <w:rPr>
                <w:rFonts w:hint="default" w:ascii="Times New Roman" w:hAnsi="Times New Roman" w:eastAsia="方正仿宋_GBK" w:cs="Times New Roman"/>
                <w:i w:val="0"/>
                <w:color w:val="auto"/>
                <w:kern w:val="0"/>
                <w:sz w:val="24"/>
                <w:szCs w:val="24"/>
                <w:highlight w:val="none"/>
                <w:u w:val="none"/>
                <w:lang w:val="en-US" w:eastAsia="zh-CN" w:bidi="ar"/>
              </w:rPr>
              <w:t>5</w:t>
            </w:r>
          </w:p>
        </w:tc>
        <w:tc>
          <w:tcPr>
            <w:tcW w:w="329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AA8F6BC">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left"/>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i w:val="0"/>
                <w:color w:val="auto"/>
                <w:kern w:val="0"/>
                <w:sz w:val="24"/>
                <w:szCs w:val="24"/>
                <w:highlight w:val="none"/>
                <w:u w:val="none"/>
                <w:lang w:val="en-US" w:eastAsia="zh-CN" w:bidi="ar"/>
              </w:rPr>
              <w:t>大豆玉米带状复合种植</w:t>
            </w:r>
          </w:p>
        </w:tc>
        <w:tc>
          <w:tcPr>
            <w:tcW w:w="129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92B5FB0">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b w:val="0"/>
                <w:bCs w:val="0"/>
                <w:color w:val="auto"/>
                <w:sz w:val="24"/>
                <w:szCs w:val="24"/>
                <w:highlight w:val="none"/>
                <w:lang w:val="en-US" w:eastAsia="zh-CN"/>
              </w:rPr>
            </w:pPr>
            <w:r>
              <w:rPr>
                <w:rFonts w:hint="default" w:ascii="Times New Roman" w:hAnsi="Times New Roman" w:eastAsia="方正仿宋_GBK" w:cs="Times New Roman"/>
                <w:i w:val="0"/>
                <w:color w:val="auto"/>
                <w:kern w:val="0"/>
                <w:sz w:val="24"/>
                <w:szCs w:val="24"/>
                <w:highlight w:val="none"/>
                <w:u w:val="none"/>
                <w:lang w:val="en-US" w:eastAsia="zh-CN" w:bidi="ar"/>
              </w:rPr>
              <w:t>10500</w:t>
            </w:r>
          </w:p>
        </w:tc>
        <w:tc>
          <w:tcPr>
            <w:tcW w:w="10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DDD3E4">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i w:val="0"/>
                <w:color w:val="auto"/>
                <w:kern w:val="0"/>
                <w:sz w:val="24"/>
                <w:szCs w:val="24"/>
                <w:highlight w:val="none"/>
                <w:u w:val="none"/>
                <w:lang w:val="en-US" w:eastAsia="zh-CN" w:bidi="ar"/>
              </w:rPr>
              <w:t>3500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8A136A7">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color w:val="auto"/>
                <w:sz w:val="24"/>
                <w:szCs w:val="24"/>
                <w:highlight w:val="none"/>
                <w:lang w:val="en-US" w:eastAsia="zh-CN"/>
              </w:rPr>
            </w:pPr>
            <w:r>
              <w:rPr>
                <w:rFonts w:hint="default" w:ascii="Times New Roman" w:hAnsi="Times New Roman" w:eastAsia="方正仿宋_GBK" w:cs="Times New Roman"/>
                <w:b w:val="0"/>
                <w:bCs w:val="0"/>
                <w:color w:val="auto"/>
                <w:sz w:val="24"/>
                <w:szCs w:val="24"/>
                <w:highlight w:val="none"/>
                <w:lang w:val="en-US" w:eastAsia="zh-CN"/>
              </w:rPr>
              <w:t>8802.04</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C684160">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b w:val="0"/>
                <w:bCs w:val="0"/>
                <w:color w:val="auto"/>
                <w:sz w:val="24"/>
                <w:szCs w:val="24"/>
                <w:highlight w:val="none"/>
                <w:lang w:val="en-US" w:eastAsia="zh-CN"/>
              </w:rPr>
            </w:pPr>
            <w:r>
              <w:rPr>
                <w:rFonts w:hint="default" w:ascii="Times New Roman" w:hAnsi="Times New Roman" w:eastAsia="方正仿宋_GBK" w:cs="Times New Roman"/>
                <w:b w:val="0"/>
                <w:bCs w:val="0"/>
                <w:color w:val="auto"/>
                <w:sz w:val="24"/>
                <w:szCs w:val="24"/>
                <w:highlight w:val="none"/>
                <w:lang w:val="en-US" w:eastAsia="zh-CN"/>
              </w:rPr>
              <w:t>62.87%</w:t>
            </w:r>
          </w:p>
        </w:tc>
      </w:tr>
    </w:tbl>
    <w:p w14:paraId="2CBED68E">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楷体_GBK" w:cs="Times New Roman"/>
          <w:snapToGrid/>
          <w:color w:val="000000"/>
          <w:kern w:val="2"/>
          <w:sz w:val="32"/>
          <w:szCs w:val="32"/>
          <w:lang w:val="en-US" w:eastAsia="zh-CN" w:bidi="ar-SA"/>
        </w:rPr>
      </w:pPr>
      <w:r>
        <w:rPr>
          <w:rFonts w:hint="default" w:ascii="Times New Roman" w:hAnsi="Times New Roman" w:eastAsia="方正楷体_GBK" w:cs="Times New Roman"/>
          <w:snapToGrid/>
          <w:color w:val="000000"/>
          <w:kern w:val="2"/>
          <w:sz w:val="32"/>
          <w:szCs w:val="32"/>
          <w:lang w:val="en-US" w:eastAsia="zh-CN" w:bidi="ar-SA"/>
        </w:rPr>
        <w:t>（二）资金管理情况分析</w:t>
      </w:r>
    </w:p>
    <w:p w14:paraId="4AD2688F">
      <w:pPr>
        <w:pStyle w:val="12"/>
        <w:keepNext w:val="0"/>
        <w:keepLines w:val="0"/>
        <w:pageBreakBefore w:val="0"/>
        <w:kinsoku/>
        <w:overflowPunct/>
        <w:topLinePunct w:val="0"/>
        <w:autoSpaceDE/>
        <w:autoSpaceDN/>
        <w:bidi w:val="0"/>
        <w:adjustRightInd/>
        <w:snapToGrid/>
        <w:spacing w:line="600" w:lineRule="exact"/>
        <w:ind w:firstLine="647"/>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lang w:val="en-US" w:eastAsia="zh-CN"/>
        </w:rPr>
        <w:t>云南省</w:t>
      </w:r>
      <w:r>
        <w:rPr>
          <w:rFonts w:hint="default" w:ascii="Times New Roman" w:hAnsi="Times New Roman" w:eastAsia="方正仿宋_GBK" w:cs="Times New Roman"/>
          <w:color w:val="auto"/>
          <w:sz w:val="32"/>
          <w:szCs w:val="32"/>
          <w:highlight w:val="none"/>
        </w:rPr>
        <w:t>严格按照《财政部 农业农村部关于印发农业相关转移支付资金管理办法的通知》（财农〔20</w:t>
      </w:r>
      <w:r>
        <w:rPr>
          <w:rFonts w:hint="default" w:ascii="Times New Roman" w:hAnsi="Times New Roman" w:eastAsia="方正仿宋_GBK" w:cs="Times New Roman"/>
          <w:color w:val="auto"/>
          <w:sz w:val="32"/>
          <w:szCs w:val="32"/>
          <w:highlight w:val="none"/>
          <w:lang w:val="en-US" w:eastAsia="zh-CN"/>
        </w:rPr>
        <w:t>23</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val="en-US" w:eastAsia="zh-CN"/>
        </w:rPr>
        <w:t>1</w:t>
      </w:r>
      <w:r>
        <w:rPr>
          <w:rFonts w:hint="default" w:ascii="Times New Roman" w:hAnsi="Times New Roman" w:eastAsia="方正仿宋_GBK" w:cs="Times New Roman"/>
          <w:color w:val="auto"/>
          <w:sz w:val="32"/>
          <w:szCs w:val="32"/>
          <w:highlight w:val="none"/>
        </w:rPr>
        <w:t>1号）</w:t>
      </w:r>
      <w:r>
        <w:rPr>
          <w:rFonts w:hint="default" w:ascii="Times New Roman" w:hAnsi="Times New Roman" w:eastAsia="方正仿宋_GBK" w:cs="Times New Roman"/>
          <w:color w:val="auto"/>
          <w:sz w:val="32"/>
          <w:szCs w:val="32"/>
          <w:highlight w:val="none"/>
          <w:lang w:eastAsia="zh-CN"/>
        </w:rPr>
        <w:t>和《云南省财政厅</w:t>
      </w:r>
      <w:r>
        <w:rPr>
          <w:rFonts w:hint="default" w:ascii="Times New Roman" w:hAnsi="Times New Roman" w:eastAsia="方正仿宋_GBK" w:cs="Times New Roman"/>
          <w:color w:val="auto"/>
          <w:sz w:val="32"/>
          <w:szCs w:val="32"/>
          <w:highlight w:val="none"/>
          <w:lang w:val="en-US" w:eastAsia="zh-CN"/>
        </w:rPr>
        <w:t xml:space="preserve"> 云南省农业农村厅关于印发云南省中央农业相关转移支付资金管理实施细则的通知</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CN"/>
        </w:rPr>
        <w:t>云</w:t>
      </w:r>
      <w:r>
        <w:rPr>
          <w:rFonts w:hint="default" w:ascii="Times New Roman" w:hAnsi="Times New Roman" w:eastAsia="方正仿宋_GBK" w:cs="Times New Roman"/>
          <w:color w:val="auto"/>
          <w:sz w:val="32"/>
          <w:szCs w:val="32"/>
          <w:highlight w:val="none"/>
        </w:rPr>
        <w:t>财</w:t>
      </w:r>
      <w:r>
        <w:rPr>
          <w:rFonts w:hint="default" w:ascii="Times New Roman" w:hAnsi="Times New Roman" w:eastAsia="方正仿宋_GBK" w:cs="Times New Roman"/>
          <w:color w:val="auto"/>
          <w:sz w:val="32"/>
          <w:szCs w:val="32"/>
          <w:highlight w:val="none"/>
          <w:lang w:eastAsia="zh-CN"/>
        </w:rPr>
        <w:t>规</w:t>
      </w:r>
      <w:r>
        <w:rPr>
          <w:rFonts w:hint="default" w:ascii="Times New Roman" w:hAnsi="Times New Roman" w:eastAsia="方正仿宋_GBK" w:cs="Times New Roman"/>
          <w:color w:val="auto"/>
          <w:sz w:val="32"/>
          <w:szCs w:val="32"/>
          <w:highlight w:val="none"/>
        </w:rPr>
        <w:t>〔20</w:t>
      </w:r>
      <w:r>
        <w:rPr>
          <w:rFonts w:hint="default" w:ascii="Times New Roman" w:hAnsi="Times New Roman" w:eastAsia="方正仿宋_GBK" w:cs="Times New Roman"/>
          <w:color w:val="auto"/>
          <w:sz w:val="32"/>
          <w:szCs w:val="32"/>
          <w:highlight w:val="none"/>
          <w:lang w:val="en-US" w:eastAsia="zh-CN"/>
        </w:rPr>
        <w:t>24</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val="en-US" w:eastAsia="zh-CN"/>
        </w:rPr>
        <w:t>13</w:t>
      </w:r>
      <w:r>
        <w:rPr>
          <w:rFonts w:hint="default" w:ascii="Times New Roman" w:hAnsi="Times New Roman" w:eastAsia="方正仿宋_GBK" w:cs="Times New Roman"/>
          <w:color w:val="auto"/>
          <w:sz w:val="32"/>
          <w:szCs w:val="32"/>
          <w:highlight w:val="none"/>
        </w:rPr>
        <w:t>号）</w:t>
      </w:r>
      <w:r>
        <w:rPr>
          <w:rFonts w:hint="default" w:ascii="Times New Roman" w:hAnsi="Times New Roman" w:eastAsia="方正仿宋_GBK" w:cs="Times New Roman"/>
          <w:color w:val="auto"/>
          <w:sz w:val="32"/>
          <w:szCs w:val="32"/>
          <w:highlight w:val="none"/>
          <w:lang w:eastAsia="zh-CN"/>
        </w:rPr>
        <w:t>要求，建立健全项目资金管理制度，制定</w:t>
      </w:r>
      <w:r>
        <w:rPr>
          <w:rFonts w:hint="default" w:ascii="Times New Roman" w:hAnsi="Times New Roman" w:eastAsia="方正仿宋_GBK" w:cs="Times New Roman"/>
          <w:color w:val="auto"/>
          <w:sz w:val="32"/>
          <w:szCs w:val="32"/>
          <w:highlight w:val="none"/>
          <w:lang w:val="en-US" w:eastAsia="zh-CN"/>
        </w:rPr>
        <w:t>项目和资金管理办法，在规定时限内将资金分配下达至各州（市）、县（市、区），并严格按规定</w:t>
      </w:r>
      <w:r>
        <w:rPr>
          <w:rFonts w:hint="default" w:ascii="Times New Roman" w:hAnsi="Times New Roman" w:eastAsia="方正仿宋_GBK" w:cs="Times New Roman"/>
          <w:color w:val="auto"/>
          <w:sz w:val="32"/>
          <w:szCs w:val="32"/>
          <w:highlight w:val="none"/>
        </w:rPr>
        <w:t>开展项目</w:t>
      </w:r>
      <w:r>
        <w:rPr>
          <w:rFonts w:hint="default" w:ascii="Times New Roman" w:hAnsi="Times New Roman" w:eastAsia="方正仿宋_GBK" w:cs="Times New Roman"/>
          <w:color w:val="auto"/>
          <w:sz w:val="32"/>
          <w:szCs w:val="32"/>
          <w:highlight w:val="none"/>
          <w:lang w:eastAsia="zh-CN"/>
        </w:rPr>
        <w:t>实施</w:t>
      </w:r>
      <w:bookmarkStart w:id="2" w:name="_GoBack"/>
      <w:bookmarkEnd w:id="2"/>
      <w:r>
        <w:rPr>
          <w:rFonts w:hint="default" w:ascii="Times New Roman" w:hAnsi="Times New Roman" w:eastAsia="方正仿宋_GBK" w:cs="Times New Roman"/>
          <w:color w:val="auto"/>
          <w:sz w:val="32"/>
          <w:szCs w:val="32"/>
          <w:highlight w:val="none"/>
        </w:rPr>
        <w:t>与监督管理。根据工作任务和绩效目标，制定</w:t>
      </w:r>
      <w:r>
        <w:rPr>
          <w:rFonts w:hint="default" w:ascii="Times New Roman" w:hAnsi="Times New Roman" w:eastAsia="方正仿宋_GBK" w:cs="Times New Roman"/>
          <w:color w:val="auto"/>
          <w:sz w:val="32"/>
          <w:szCs w:val="32"/>
          <w:highlight w:val="none"/>
          <w:lang w:eastAsia="zh-CN"/>
        </w:rPr>
        <w:t>了项目</w:t>
      </w:r>
      <w:r>
        <w:rPr>
          <w:rFonts w:hint="default" w:ascii="Times New Roman" w:hAnsi="Times New Roman" w:eastAsia="方正仿宋_GBK" w:cs="Times New Roman"/>
          <w:color w:val="auto"/>
          <w:sz w:val="32"/>
          <w:szCs w:val="32"/>
          <w:highlight w:val="none"/>
        </w:rPr>
        <w:t>资金使用方案，设立</w:t>
      </w:r>
      <w:r>
        <w:rPr>
          <w:rFonts w:hint="default" w:ascii="Times New Roman" w:hAnsi="Times New Roman" w:eastAsia="方正仿宋_GBK" w:cs="Times New Roman"/>
          <w:color w:val="auto"/>
          <w:sz w:val="32"/>
          <w:szCs w:val="32"/>
          <w:highlight w:val="none"/>
          <w:lang w:eastAsia="zh-CN"/>
        </w:rPr>
        <w:t>专</w:t>
      </w:r>
      <w:r>
        <w:rPr>
          <w:rFonts w:hint="default" w:ascii="Times New Roman" w:hAnsi="Times New Roman" w:eastAsia="方正仿宋_GBK" w:cs="Times New Roman"/>
          <w:color w:val="auto"/>
          <w:sz w:val="32"/>
          <w:szCs w:val="32"/>
          <w:highlight w:val="none"/>
        </w:rPr>
        <w:t>账管理，规范资金支出范围，</w:t>
      </w:r>
      <w:r>
        <w:rPr>
          <w:rFonts w:hint="default" w:ascii="Times New Roman" w:hAnsi="Times New Roman" w:eastAsia="方正仿宋_GBK" w:cs="Times New Roman"/>
          <w:color w:val="auto"/>
          <w:sz w:val="32"/>
          <w:szCs w:val="32"/>
          <w:highlight w:val="none"/>
          <w:lang w:eastAsia="zh-CN"/>
        </w:rPr>
        <w:t>确保</w:t>
      </w:r>
      <w:r>
        <w:rPr>
          <w:rFonts w:hint="default" w:ascii="Times New Roman" w:hAnsi="Times New Roman" w:eastAsia="方正仿宋_GBK" w:cs="Times New Roman"/>
          <w:color w:val="auto"/>
          <w:sz w:val="32"/>
          <w:szCs w:val="32"/>
          <w:highlight w:val="none"/>
        </w:rPr>
        <w:t>资金</w:t>
      </w:r>
      <w:r>
        <w:rPr>
          <w:rFonts w:hint="default" w:ascii="Times New Roman" w:hAnsi="Times New Roman" w:eastAsia="方正仿宋_GBK" w:cs="Times New Roman"/>
          <w:color w:val="auto"/>
          <w:sz w:val="32"/>
          <w:szCs w:val="32"/>
          <w:highlight w:val="none"/>
          <w:lang w:eastAsia="zh-CN"/>
        </w:rPr>
        <w:t>使用安全有效</w:t>
      </w:r>
      <w:r>
        <w:rPr>
          <w:rFonts w:hint="default" w:ascii="Times New Roman" w:hAnsi="Times New Roman" w:eastAsia="方正仿宋_GBK" w:cs="Times New Roman"/>
          <w:color w:val="auto"/>
          <w:sz w:val="32"/>
          <w:szCs w:val="32"/>
          <w:highlight w:val="none"/>
        </w:rPr>
        <w:t>，专款专用。在采购过程中严格执行政府采购制度，按规定程序申报</w:t>
      </w:r>
      <w:r>
        <w:rPr>
          <w:rFonts w:hint="default" w:ascii="Times New Roman" w:hAnsi="Times New Roman" w:eastAsia="方正仿宋_GBK" w:cs="Times New Roman"/>
          <w:color w:val="auto"/>
          <w:sz w:val="32"/>
          <w:szCs w:val="32"/>
          <w:highlight w:val="none"/>
          <w:lang w:eastAsia="zh-CN"/>
        </w:rPr>
        <w:t>审</w:t>
      </w:r>
      <w:r>
        <w:rPr>
          <w:rFonts w:hint="default" w:ascii="Times New Roman" w:hAnsi="Times New Roman" w:eastAsia="方正仿宋_GBK" w:cs="Times New Roman"/>
          <w:color w:val="auto"/>
          <w:sz w:val="32"/>
          <w:szCs w:val="32"/>
          <w:highlight w:val="none"/>
        </w:rPr>
        <w:t>批和开展招投标</w:t>
      </w:r>
      <w:r>
        <w:rPr>
          <w:rFonts w:hint="default" w:ascii="Times New Roman" w:hAnsi="Times New Roman" w:eastAsia="方正仿宋_GBK" w:cs="Times New Roman"/>
          <w:color w:val="auto"/>
          <w:sz w:val="32"/>
          <w:szCs w:val="32"/>
          <w:highlight w:val="none"/>
          <w:lang w:eastAsia="zh-CN"/>
        </w:rPr>
        <w:t>。根据预算绩效运行监控管理的要求，资金管理使用单位安排专人</w:t>
      </w:r>
      <w:r>
        <w:rPr>
          <w:rFonts w:hint="default" w:ascii="Times New Roman" w:hAnsi="Times New Roman" w:eastAsia="方正仿宋_GBK" w:cs="Times New Roman"/>
          <w:color w:val="auto"/>
          <w:sz w:val="32"/>
          <w:szCs w:val="32"/>
          <w:highlight w:val="none"/>
        </w:rPr>
        <w:t>分</w:t>
      </w:r>
      <w:r>
        <w:rPr>
          <w:rFonts w:hint="default" w:ascii="Times New Roman" w:hAnsi="Times New Roman" w:eastAsia="方正仿宋_GBK" w:cs="Times New Roman"/>
          <w:color w:val="auto"/>
          <w:sz w:val="32"/>
          <w:szCs w:val="32"/>
          <w:highlight w:val="none"/>
          <w:lang w:eastAsia="zh-CN"/>
        </w:rPr>
        <w:t>时段</w:t>
      </w:r>
      <w:r>
        <w:rPr>
          <w:rFonts w:hint="default" w:ascii="Times New Roman" w:hAnsi="Times New Roman" w:eastAsia="方正仿宋_GBK" w:cs="Times New Roman"/>
          <w:color w:val="auto"/>
          <w:sz w:val="32"/>
          <w:szCs w:val="32"/>
          <w:highlight w:val="none"/>
        </w:rPr>
        <w:t>跟踪问效，确保资金支出合法、合理、合规。</w:t>
      </w:r>
      <w:r>
        <w:rPr>
          <w:rFonts w:hint="default" w:ascii="Times New Roman" w:hAnsi="Times New Roman" w:eastAsia="方正仿宋_GBK" w:cs="Times New Roman"/>
          <w:color w:val="auto"/>
          <w:sz w:val="32"/>
          <w:szCs w:val="32"/>
          <w:highlight w:val="none"/>
          <w:lang w:eastAsia="zh-CN"/>
        </w:rPr>
        <w:t>截至目前</w:t>
      </w:r>
      <w:r>
        <w:rPr>
          <w:rFonts w:hint="default" w:ascii="Times New Roman" w:hAnsi="Times New Roman" w:eastAsia="方正仿宋_GBK" w:cs="Times New Roman"/>
          <w:color w:val="auto"/>
          <w:sz w:val="32"/>
          <w:szCs w:val="32"/>
          <w:highlight w:val="none"/>
        </w:rPr>
        <w:t>，未发现截留、挤占、挪用项目资金的违纪违法行为。</w:t>
      </w:r>
      <w:bookmarkStart w:id="0" w:name="OLE_LINK3"/>
      <w:bookmarkStart w:id="1" w:name="OLE_LINK1"/>
      <w:r>
        <w:rPr>
          <w:rFonts w:hint="default" w:ascii="Times New Roman" w:hAnsi="Times New Roman" w:eastAsia="方正仿宋_GBK" w:cs="Times New Roman"/>
          <w:color w:val="auto"/>
          <w:kern w:val="0"/>
          <w:sz w:val="32"/>
          <w:szCs w:val="32"/>
          <w:lang w:eastAsia="zh-CN"/>
        </w:rPr>
        <w:t>按照</w:t>
      </w:r>
      <w:r>
        <w:rPr>
          <w:rFonts w:hint="default" w:ascii="Times New Roman" w:hAnsi="Times New Roman" w:eastAsia="方正仿宋_GBK" w:cs="Times New Roman"/>
          <w:color w:val="auto"/>
          <w:kern w:val="0"/>
          <w:sz w:val="32"/>
          <w:szCs w:val="32"/>
          <w:lang w:val="en-US" w:eastAsia="zh-CN"/>
        </w:rPr>
        <w:t>政府间</w:t>
      </w:r>
      <w:r>
        <w:rPr>
          <w:rFonts w:hint="default" w:ascii="Times New Roman" w:hAnsi="Times New Roman" w:eastAsia="方正仿宋_GBK" w:cs="Times New Roman"/>
          <w:color w:val="auto"/>
          <w:kern w:val="0"/>
          <w:sz w:val="32"/>
          <w:szCs w:val="32"/>
          <w:lang w:eastAsia="zh-CN"/>
        </w:rPr>
        <w:t>事权和支出责任划分有关规定，对</w:t>
      </w:r>
      <w:r>
        <w:rPr>
          <w:rFonts w:hint="default" w:ascii="Times New Roman" w:hAnsi="Times New Roman" w:eastAsia="方正仿宋_GBK" w:cs="Times New Roman"/>
          <w:color w:val="auto"/>
          <w:kern w:val="0"/>
          <w:sz w:val="32"/>
          <w:szCs w:val="32"/>
          <w:lang w:val="en-US" w:eastAsia="zh-CN"/>
        </w:rPr>
        <w:t>大豆玉米带状复合种植项目</w:t>
      </w:r>
      <w:r>
        <w:rPr>
          <w:rFonts w:hint="default" w:ascii="Times New Roman" w:hAnsi="Times New Roman" w:eastAsia="方正仿宋_GBK" w:cs="Times New Roman"/>
          <w:color w:val="auto"/>
          <w:kern w:val="0"/>
          <w:sz w:val="32"/>
          <w:szCs w:val="32"/>
          <w:lang w:eastAsia="zh-CN"/>
        </w:rPr>
        <w:t>云南省级财政安排落实了</w:t>
      </w:r>
      <w:r>
        <w:rPr>
          <w:rFonts w:hint="default" w:ascii="Times New Roman" w:hAnsi="Times New Roman" w:eastAsia="方正仿宋_GBK" w:cs="Times New Roman"/>
          <w:color w:val="auto"/>
          <w:kern w:val="0"/>
          <w:sz w:val="32"/>
          <w:szCs w:val="32"/>
          <w:lang w:val="en-US" w:eastAsia="zh-CN"/>
        </w:rPr>
        <w:t>3500</w:t>
      </w:r>
      <w:r>
        <w:rPr>
          <w:rFonts w:hint="default" w:ascii="Times New Roman" w:hAnsi="Times New Roman" w:eastAsia="方正仿宋_GBK" w:cs="Times New Roman"/>
          <w:color w:val="auto"/>
          <w:kern w:val="0"/>
          <w:sz w:val="32"/>
          <w:szCs w:val="32"/>
          <w:lang w:eastAsia="zh-CN"/>
        </w:rPr>
        <w:t>万元</w:t>
      </w:r>
      <w:r>
        <w:rPr>
          <w:rFonts w:hint="default" w:ascii="Times New Roman" w:hAnsi="Times New Roman" w:eastAsia="方正仿宋_GBK" w:cs="Times New Roman"/>
          <w:color w:val="auto"/>
          <w:kern w:val="0"/>
          <w:sz w:val="32"/>
          <w:szCs w:val="32"/>
          <w:lang w:val="en-US" w:eastAsia="zh-CN"/>
        </w:rPr>
        <w:t>配套资金</w:t>
      </w:r>
      <w:r>
        <w:rPr>
          <w:rFonts w:hint="default" w:ascii="Times New Roman" w:hAnsi="Times New Roman" w:eastAsia="方正仿宋_GBK" w:cs="Times New Roman"/>
          <w:color w:val="auto"/>
          <w:kern w:val="0"/>
          <w:sz w:val="32"/>
          <w:szCs w:val="32"/>
          <w:lang w:eastAsia="zh-CN"/>
        </w:rPr>
        <w:t>。</w:t>
      </w:r>
      <w:bookmarkEnd w:id="0"/>
    </w:p>
    <w:bookmarkEnd w:id="1"/>
    <w:p w14:paraId="480EEA16">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楷体_GBK" w:cs="Times New Roman"/>
          <w:snapToGrid/>
          <w:color w:val="000000"/>
          <w:kern w:val="2"/>
          <w:sz w:val="32"/>
          <w:szCs w:val="32"/>
          <w:lang w:val="en-US" w:eastAsia="zh-CN" w:bidi="ar-SA"/>
        </w:rPr>
      </w:pPr>
      <w:r>
        <w:rPr>
          <w:rFonts w:hint="default" w:ascii="Times New Roman" w:hAnsi="Times New Roman" w:eastAsia="方正楷体_GBK" w:cs="Times New Roman"/>
          <w:snapToGrid/>
          <w:color w:val="000000"/>
          <w:kern w:val="2"/>
          <w:sz w:val="32"/>
          <w:szCs w:val="32"/>
          <w:lang w:val="en-US" w:eastAsia="zh-CN" w:bidi="ar-SA"/>
        </w:rPr>
        <w:t>（三）总体绩效目标完成情况分析</w:t>
      </w:r>
    </w:p>
    <w:p w14:paraId="15CB55A0">
      <w:pPr>
        <w:keepNext w:val="0"/>
        <w:keepLines w:val="0"/>
        <w:pageBreakBefore w:val="0"/>
        <w:kinsoku/>
        <w:overflowPunct/>
        <w:topLinePunct w:val="0"/>
        <w:autoSpaceDE/>
        <w:autoSpaceDN/>
        <w:bidi w:val="0"/>
        <w:adjustRightInd/>
        <w:snapToGrid/>
        <w:spacing w:line="600" w:lineRule="exact"/>
        <w:ind w:firstLine="640" w:firstLineChars="200"/>
        <w:rPr>
          <w:rFonts w:hint="default" w:ascii="Times New Roman" w:hAnsi="Times New Roman" w:cs="Times New Roman"/>
          <w:color w:val="auto"/>
          <w:highlight w:val="none"/>
          <w:lang w:val="en-US" w:eastAsia="zh-CN"/>
        </w:rPr>
      </w:pPr>
      <w:r>
        <w:rPr>
          <w:rFonts w:hint="default" w:ascii="Times New Roman" w:hAnsi="Times New Roman" w:eastAsia="方正仿宋_GBK" w:cs="Times New Roman"/>
          <w:color w:val="auto"/>
          <w:sz w:val="32"/>
          <w:szCs w:val="32"/>
          <w:highlight w:val="none"/>
          <w:lang w:val="en-US" w:eastAsia="zh-CN"/>
        </w:rPr>
        <w:t>2025年我省按照保障粮食安全、扩大豆、扩油料的总体要求，以粮油作物单产提升为抓手</w:t>
      </w:r>
      <w:r>
        <w:rPr>
          <w:rFonts w:hint="default" w:ascii="Times New Roman" w:hAnsi="Times New Roman" w:eastAsia="方正仿宋_GBK" w:cs="Times New Roman"/>
          <w:i w:val="0"/>
          <w:caps w:val="0"/>
          <w:color w:val="auto"/>
          <w:spacing w:val="0"/>
          <w:kern w:val="0"/>
          <w:sz w:val="32"/>
          <w:szCs w:val="32"/>
          <w:highlight w:val="none"/>
          <w:shd w:val="clear" w:color="auto" w:fill="FFFFFF"/>
          <w:lang w:val="en-US" w:eastAsia="zh-CN" w:bidi="ar"/>
        </w:rPr>
        <w:t>，全力做好主要粮油作物单产提升、大豆玉米带状复合种植、扩种油菜等重点工作，确保2025年度中央粮油生产保障各项目标任务基本完成。2025年全省粮食播种面积6335.48万亩，较上年减少34.77万亩，但粮食总产仍达2001.89万吨，首次超过2000万吨，同比增长0.4%；粮食单产315.98公斤/亩，同比增长1%，粮食单产对粮食产量提升贡献率不断提高。</w:t>
      </w:r>
      <w:r>
        <w:rPr>
          <w:rStyle w:val="11"/>
          <w:rFonts w:hint="default" w:ascii="Times New Roman" w:hAnsi="Times New Roman" w:eastAsia="方正仿宋_GBK" w:cs="Times New Roman"/>
          <w:b w:val="0"/>
          <w:bCs w:val="0"/>
          <w:color w:val="auto"/>
          <w:kern w:val="0"/>
          <w:sz w:val="32"/>
          <w:szCs w:val="32"/>
          <w:highlight w:val="none"/>
          <w:lang w:val="en-US" w:eastAsia="zh-CN"/>
        </w:rPr>
        <w:t>大豆播种面积274.93万亩，</w:t>
      </w:r>
      <w:r>
        <w:rPr>
          <w:rFonts w:hint="default" w:ascii="Times New Roman" w:hAnsi="Times New Roman" w:eastAsia="方正仿宋_GBK" w:cs="Times New Roman"/>
          <w:i w:val="0"/>
          <w:caps w:val="0"/>
          <w:color w:val="auto"/>
          <w:spacing w:val="0"/>
          <w:kern w:val="0"/>
          <w:sz w:val="32"/>
          <w:szCs w:val="32"/>
          <w:highlight w:val="none"/>
          <w:shd w:val="clear" w:color="auto" w:fill="FFFFFF"/>
          <w:lang w:val="en-US" w:eastAsia="zh-CN" w:bidi="ar"/>
        </w:rPr>
        <w:t>较上年</w:t>
      </w:r>
      <w:r>
        <w:rPr>
          <w:rFonts w:hint="default" w:ascii="Times New Roman" w:hAnsi="Times New Roman" w:eastAsia="方正仿宋_GBK" w:cs="Times New Roman"/>
          <w:b w:val="0"/>
          <w:bCs w:val="0"/>
          <w:color w:val="auto"/>
          <w:sz w:val="32"/>
          <w:szCs w:val="32"/>
          <w:highlight w:val="none"/>
          <w:lang w:val="en-US" w:eastAsia="zh-CN"/>
        </w:rPr>
        <w:t>增加7.5万亩，同比增长2.8%，超国家下达任务9.9万亩</w:t>
      </w:r>
      <w:r>
        <w:rPr>
          <w:rStyle w:val="11"/>
          <w:rFonts w:hint="default" w:ascii="Times New Roman" w:hAnsi="Times New Roman" w:eastAsia="方正仿宋_GBK" w:cs="Times New Roman"/>
          <w:b w:val="0"/>
          <w:bCs w:val="0"/>
          <w:color w:val="auto"/>
          <w:kern w:val="0"/>
          <w:sz w:val="32"/>
          <w:szCs w:val="32"/>
          <w:highlight w:val="none"/>
          <w:lang w:val="en-US" w:eastAsia="zh-CN"/>
        </w:rPr>
        <w:t>；油料播种面积521.32万亩</w:t>
      </w:r>
      <w:r>
        <w:rPr>
          <w:rFonts w:hint="default" w:ascii="Times New Roman" w:hAnsi="Times New Roman" w:eastAsia="方正仿宋_GBK" w:cs="Times New Roman"/>
          <w:b w:val="0"/>
          <w:bCs w:val="0"/>
          <w:color w:val="auto"/>
          <w:sz w:val="32"/>
          <w:szCs w:val="32"/>
          <w:highlight w:val="none"/>
          <w:lang w:val="en-US" w:eastAsia="zh-CN"/>
        </w:rPr>
        <w:t>，</w:t>
      </w:r>
      <w:r>
        <w:rPr>
          <w:rFonts w:hint="default" w:ascii="Times New Roman" w:hAnsi="Times New Roman" w:eastAsia="方正仿宋_GBK" w:cs="Times New Roman"/>
          <w:i w:val="0"/>
          <w:caps w:val="0"/>
          <w:color w:val="auto"/>
          <w:spacing w:val="0"/>
          <w:kern w:val="0"/>
          <w:sz w:val="32"/>
          <w:szCs w:val="32"/>
          <w:highlight w:val="none"/>
          <w:shd w:val="clear" w:color="auto" w:fill="FFFFFF"/>
          <w:lang w:val="en-US" w:eastAsia="zh-CN" w:bidi="ar"/>
        </w:rPr>
        <w:t>较上年</w:t>
      </w:r>
      <w:r>
        <w:rPr>
          <w:rFonts w:hint="default" w:ascii="Times New Roman" w:hAnsi="Times New Roman" w:eastAsia="方正仿宋_GBK" w:cs="Times New Roman"/>
          <w:b w:val="0"/>
          <w:bCs w:val="0"/>
          <w:color w:val="auto"/>
          <w:sz w:val="32"/>
          <w:szCs w:val="32"/>
          <w:highlight w:val="none"/>
          <w:lang w:val="en-US" w:eastAsia="zh-CN"/>
        </w:rPr>
        <w:t>增加3.47万亩，同比增长0.67%，超国家下达任务9.65万亩；油菜播种面积431.47万亩；大豆玉米</w:t>
      </w:r>
      <w:r>
        <w:rPr>
          <w:rFonts w:hint="default" w:ascii="Times New Roman" w:hAnsi="Times New Roman" w:eastAsia="方正仿宋_GBK" w:cs="Times New Roman"/>
          <w:color w:val="auto"/>
          <w:kern w:val="2"/>
          <w:sz w:val="32"/>
          <w:szCs w:val="32"/>
          <w:highlight w:val="none"/>
          <w:lang w:val="en-US" w:eastAsia="zh-CN" w:bidi="ar-SA"/>
        </w:rPr>
        <w:t>带状复合种植播种面积70.89万亩，超国家下达任务0.89万</w:t>
      </w:r>
      <w:r>
        <w:rPr>
          <w:rFonts w:hint="default" w:ascii="Times New Roman" w:hAnsi="Times New Roman" w:eastAsia="方正仿宋_GBK" w:cs="Times New Roman"/>
          <w:b w:val="0"/>
          <w:bCs w:val="0"/>
          <w:color w:val="auto"/>
          <w:sz w:val="32"/>
          <w:szCs w:val="32"/>
          <w:highlight w:val="none"/>
          <w:lang w:val="en-US" w:eastAsia="zh-CN"/>
        </w:rPr>
        <w:t>亩。</w:t>
      </w:r>
    </w:p>
    <w:p w14:paraId="696FDC47">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楷体_GBK" w:cs="Times New Roman"/>
          <w:snapToGrid/>
          <w:color w:val="000000"/>
          <w:kern w:val="2"/>
          <w:sz w:val="32"/>
          <w:szCs w:val="32"/>
          <w:lang w:val="en-US" w:eastAsia="zh-CN" w:bidi="ar-SA"/>
        </w:rPr>
      </w:pPr>
      <w:r>
        <w:rPr>
          <w:rFonts w:hint="default" w:ascii="Times New Roman" w:hAnsi="Times New Roman" w:eastAsia="方正楷体_GBK" w:cs="Times New Roman"/>
          <w:snapToGrid/>
          <w:color w:val="000000"/>
          <w:kern w:val="2"/>
          <w:sz w:val="32"/>
          <w:szCs w:val="32"/>
          <w:lang w:val="en-US" w:eastAsia="zh-CN" w:bidi="ar-SA"/>
        </w:rPr>
        <w:t>（四）绩效指标完成情况分析</w:t>
      </w:r>
    </w:p>
    <w:p w14:paraId="4EB34F7E">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val="en-US" w:eastAsia="zh-CN"/>
        </w:rPr>
        <w:t>1.数量指标：</w:t>
      </w:r>
      <w:r>
        <w:rPr>
          <w:rFonts w:hint="default" w:ascii="Times New Roman" w:hAnsi="Times New Roman" w:eastAsia="方正仿宋_GBK" w:cs="Times New Roman"/>
          <w:b w:val="0"/>
          <w:bCs w:val="0"/>
          <w:color w:val="auto"/>
          <w:sz w:val="32"/>
          <w:szCs w:val="32"/>
          <w:highlight w:val="none"/>
          <w:lang w:eastAsia="zh-CN"/>
        </w:rPr>
        <w:t>中</w:t>
      </w:r>
      <w:r>
        <w:rPr>
          <w:rFonts w:hint="default" w:ascii="Times New Roman" w:hAnsi="Times New Roman" w:eastAsia="方正仿宋_GBK" w:cs="Times New Roman"/>
          <w:color w:val="auto"/>
          <w:sz w:val="32"/>
          <w:szCs w:val="32"/>
          <w:highlight w:val="none"/>
          <w:lang w:eastAsia="zh-CN"/>
        </w:rPr>
        <w:t>央下达我省</w:t>
      </w:r>
      <w:r>
        <w:rPr>
          <w:rFonts w:hint="default" w:ascii="Times New Roman" w:hAnsi="Times New Roman" w:eastAsia="方正仿宋_GBK" w:cs="Times New Roman"/>
          <w:color w:val="auto"/>
          <w:sz w:val="32"/>
          <w:szCs w:val="32"/>
          <w:highlight w:val="none"/>
        </w:rPr>
        <w:t>数量指标共</w:t>
      </w:r>
      <w:r>
        <w:rPr>
          <w:rFonts w:hint="default" w:ascii="Times New Roman" w:hAnsi="Times New Roman" w:eastAsia="方正仿宋_GBK" w:cs="Times New Roman"/>
          <w:color w:val="auto"/>
          <w:sz w:val="32"/>
          <w:szCs w:val="32"/>
          <w:highlight w:val="none"/>
          <w:lang w:val="en-US" w:eastAsia="zh-CN"/>
        </w:rPr>
        <w:t>6</w:t>
      </w:r>
      <w:r>
        <w:rPr>
          <w:rFonts w:hint="default" w:ascii="Times New Roman" w:hAnsi="Times New Roman" w:eastAsia="方正仿宋_GBK" w:cs="Times New Roman"/>
          <w:color w:val="auto"/>
          <w:sz w:val="32"/>
          <w:szCs w:val="32"/>
          <w:highlight w:val="none"/>
        </w:rPr>
        <w:t>个，</w:t>
      </w:r>
      <w:r>
        <w:rPr>
          <w:rFonts w:hint="default" w:ascii="Times New Roman" w:hAnsi="Times New Roman" w:eastAsia="方正仿宋_GBK" w:cs="Times New Roman"/>
          <w:color w:val="auto"/>
          <w:sz w:val="32"/>
          <w:szCs w:val="32"/>
          <w:highlight w:val="none"/>
          <w:lang w:eastAsia="zh-CN"/>
        </w:rPr>
        <w:t>各项指标完成</w:t>
      </w:r>
      <w:r>
        <w:rPr>
          <w:rFonts w:hint="default" w:ascii="Times New Roman" w:hAnsi="Times New Roman" w:eastAsia="方正仿宋_GBK" w:cs="Times New Roman"/>
          <w:color w:val="auto"/>
          <w:sz w:val="32"/>
          <w:szCs w:val="32"/>
          <w:highlight w:val="none"/>
        </w:rPr>
        <w:t>情况</w:t>
      </w:r>
      <w:r>
        <w:rPr>
          <w:rFonts w:hint="default" w:ascii="Times New Roman" w:hAnsi="Times New Roman" w:eastAsia="方正仿宋_GBK" w:cs="Times New Roman"/>
          <w:color w:val="auto"/>
          <w:sz w:val="32"/>
          <w:szCs w:val="32"/>
          <w:highlight w:val="none"/>
          <w:lang w:eastAsia="zh-CN"/>
        </w:rPr>
        <w:t>见下表。</w:t>
      </w:r>
    </w:p>
    <w:p w14:paraId="7BA04040">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default"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lang w:val="en-US" w:eastAsia="zh-CN"/>
        </w:rPr>
        <w:t>云南省2025年度中央下达粮油生产保障项目数量指标完成情况表</w:t>
      </w:r>
    </w:p>
    <w:tbl>
      <w:tblPr>
        <w:tblStyle w:val="7"/>
        <w:tblW w:w="4999" w:type="pct"/>
        <w:tblInd w:w="0" w:type="dxa"/>
        <w:tblLayout w:type="autofit"/>
        <w:tblCellMar>
          <w:top w:w="0" w:type="dxa"/>
          <w:left w:w="0" w:type="dxa"/>
          <w:bottom w:w="0" w:type="dxa"/>
          <w:right w:w="0" w:type="dxa"/>
        </w:tblCellMar>
      </w:tblPr>
      <w:tblGrid>
        <w:gridCol w:w="5007"/>
        <w:gridCol w:w="2162"/>
        <w:gridCol w:w="1591"/>
      </w:tblGrid>
      <w:tr w14:paraId="602FAF88">
        <w:tblPrEx>
          <w:tblCellMar>
            <w:top w:w="0" w:type="dxa"/>
            <w:left w:w="0" w:type="dxa"/>
            <w:bottom w:w="0" w:type="dxa"/>
            <w:right w:w="0" w:type="dxa"/>
          </w:tblCellMar>
        </w:tblPrEx>
        <w:trPr>
          <w:trHeight w:val="522"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39F830">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数量指标</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168F6B">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年度指标值</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10A973">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全年完成值</w:t>
            </w:r>
          </w:p>
        </w:tc>
      </w:tr>
      <w:tr w14:paraId="0F89E691">
        <w:tblPrEx>
          <w:tblCellMar>
            <w:top w:w="0" w:type="dxa"/>
            <w:left w:w="0" w:type="dxa"/>
            <w:bottom w:w="0" w:type="dxa"/>
            <w:right w:w="0" w:type="dxa"/>
          </w:tblCellMar>
        </w:tblPrEx>
        <w:trPr>
          <w:trHeight w:val="417"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F4D7B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iCs w:val="0"/>
                <w:color w:val="auto"/>
                <w:kern w:val="0"/>
                <w:sz w:val="24"/>
                <w:szCs w:val="24"/>
                <w:u w:val="none"/>
                <w:lang w:val="en-US" w:eastAsia="zh-CN" w:bidi="ar"/>
              </w:rPr>
              <w:t>小麦“一喷三防”项目区统防统治覆盖率</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F24FC4">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iCs w:val="0"/>
                <w:color w:val="auto"/>
                <w:kern w:val="0"/>
                <w:sz w:val="24"/>
                <w:szCs w:val="24"/>
                <w:u w:val="none"/>
                <w:lang w:val="en-US" w:eastAsia="zh-CN" w:bidi="ar"/>
              </w:rPr>
              <w:t>≥75%</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BC35D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85%</w:t>
            </w:r>
          </w:p>
        </w:tc>
      </w:tr>
      <w:tr w14:paraId="39BDCBA2">
        <w:tblPrEx>
          <w:tblCellMar>
            <w:top w:w="0" w:type="dxa"/>
            <w:left w:w="0" w:type="dxa"/>
            <w:bottom w:w="0" w:type="dxa"/>
            <w:right w:w="0" w:type="dxa"/>
          </w:tblCellMar>
        </w:tblPrEx>
        <w:trPr>
          <w:trHeight w:val="417"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C9554B">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iCs w:val="0"/>
                <w:color w:val="auto"/>
                <w:kern w:val="0"/>
                <w:sz w:val="24"/>
                <w:szCs w:val="24"/>
                <w:highlight w:val="none"/>
                <w:u w:val="none"/>
                <w:lang w:val="en-US" w:eastAsia="zh-CN" w:bidi="ar"/>
              </w:rPr>
              <w:t>支持油菜生产面积（万亩）</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1830C9">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iCs w:val="0"/>
                <w:color w:val="auto"/>
                <w:kern w:val="0"/>
                <w:sz w:val="24"/>
                <w:szCs w:val="24"/>
                <w:highlight w:val="none"/>
                <w:u w:val="none"/>
                <w:lang w:val="en-US" w:eastAsia="zh-CN" w:bidi="ar"/>
              </w:rPr>
              <w:t>48</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FE2F45">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288.52</w:t>
            </w:r>
          </w:p>
        </w:tc>
      </w:tr>
      <w:tr w14:paraId="6F30C400">
        <w:tblPrEx>
          <w:tblCellMar>
            <w:top w:w="0" w:type="dxa"/>
            <w:left w:w="0" w:type="dxa"/>
            <w:bottom w:w="0" w:type="dxa"/>
            <w:right w:w="0" w:type="dxa"/>
          </w:tblCellMar>
        </w:tblPrEx>
        <w:trPr>
          <w:trHeight w:val="420"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D64DA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iCs w:val="0"/>
                <w:color w:val="auto"/>
                <w:kern w:val="0"/>
                <w:sz w:val="24"/>
                <w:szCs w:val="24"/>
                <w:highlight w:val="none"/>
                <w:u w:val="none"/>
                <w:lang w:val="en-US" w:eastAsia="zh-CN" w:bidi="ar"/>
              </w:rPr>
              <w:t>大豆玉米带状复合种植任务面积（万亩）</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6C7AF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iCs w:val="0"/>
                <w:color w:val="auto"/>
                <w:kern w:val="0"/>
                <w:sz w:val="24"/>
                <w:szCs w:val="24"/>
                <w:highlight w:val="none"/>
                <w:u w:val="none"/>
                <w:lang w:val="en-US" w:eastAsia="zh-CN" w:bidi="ar"/>
              </w:rPr>
              <w:t>70</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01BE34">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39.86</w:t>
            </w:r>
          </w:p>
        </w:tc>
      </w:tr>
      <w:tr w14:paraId="40DB3894">
        <w:tblPrEx>
          <w:tblCellMar>
            <w:top w:w="0" w:type="dxa"/>
            <w:left w:w="0" w:type="dxa"/>
            <w:bottom w:w="0" w:type="dxa"/>
            <w:right w:w="0" w:type="dxa"/>
          </w:tblCellMar>
        </w:tblPrEx>
        <w:trPr>
          <w:trHeight w:val="397"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86459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重点作物绿色高产高效创建县数量（个）</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F3140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iCs w:val="0"/>
                <w:color w:val="auto"/>
                <w:kern w:val="0"/>
                <w:sz w:val="24"/>
                <w:szCs w:val="24"/>
                <w:u w:val="none"/>
                <w:lang w:val="en-US" w:eastAsia="zh-CN" w:bidi="ar"/>
              </w:rPr>
              <w:t>31</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EDB3D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31</w:t>
            </w:r>
          </w:p>
        </w:tc>
      </w:tr>
      <w:tr w14:paraId="1165B212">
        <w:tblPrEx>
          <w:tblCellMar>
            <w:top w:w="0" w:type="dxa"/>
            <w:left w:w="0" w:type="dxa"/>
            <w:bottom w:w="0" w:type="dxa"/>
            <w:right w:w="0" w:type="dxa"/>
          </w:tblCellMar>
        </w:tblPrEx>
        <w:trPr>
          <w:trHeight w:val="416"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65A416">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大豆玉米小麦油菜水稻单产提升整建制推进县数量（个）</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12542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iCs w:val="0"/>
                <w:color w:val="auto"/>
                <w:kern w:val="0"/>
                <w:sz w:val="24"/>
                <w:szCs w:val="24"/>
                <w:u w:val="none"/>
                <w:lang w:val="en-US" w:eastAsia="zh-CN" w:bidi="ar"/>
              </w:rPr>
              <w:t>20</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390989">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20</w:t>
            </w:r>
          </w:p>
        </w:tc>
      </w:tr>
      <w:tr w14:paraId="6DC459E4">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242BBA">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集成推广绿色高质高效模式（套）</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40161A">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iCs w:val="0"/>
                <w:color w:val="auto"/>
                <w:kern w:val="0"/>
                <w:sz w:val="24"/>
                <w:szCs w:val="24"/>
                <w:u w:val="none"/>
                <w:lang w:val="en-US" w:eastAsia="zh-CN" w:bidi="ar"/>
              </w:rPr>
              <w:t>8</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5F79A8">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10</w:t>
            </w:r>
          </w:p>
        </w:tc>
      </w:tr>
    </w:tbl>
    <w:p w14:paraId="54C775A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val="en-US" w:eastAsia="zh-CN"/>
        </w:rPr>
        <w:t>2.质量指标：重点作物</w:t>
      </w:r>
      <w:r>
        <w:rPr>
          <w:rFonts w:hint="default" w:ascii="Times New Roman" w:hAnsi="Times New Roman" w:eastAsia="方正仿宋_GBK" w:cs="Times New Roman"/>
          <w:b w:val="0"/>
          <w:bCs w:val="0"/>
          <w:color w:val="auto"/>
          <w:sz w:val="32"/>
          <w:szCs w:val="32"/>
          <w:highlight w:val="none"/>
          <w:lang w:eastAsia="zh-CN"/>
        </w:rPr>
        <w:t>绿色高产高效项目区节本增效水平增加≥</w:t>
      </w:r>
      <w:r>
        <w:rPr>
          <w:rFonts w:hint="default" w:ascii="Times New Roman" w:hAnsi="Times New Roman" w:eastAsia="方正仿宋_GBK" w:cs="Times New Roman"/>
          <w:b w:val="0"/>
          <w:bCs w:val="0"/>
          <w:color w:val="auto"/>
          <w:sz w:val="32"/>
          <w:szCs w:val="32"/>
          <w:highlight w:val="none"/>
          <w:lang w:val="en-US" w:eastAsia="zh-CN"/>
        </w:rPr>
        <w:t>5%，</w:t>
      </w:r>
      <w:r>
        <w:rPr>
          <w:rFonts w:hint="default" w:ascii="Times New Roman" w:hAnsi="Times New Roman" w:eastAsia="方正仿宋_GBK" w:cs="Times New Roman"/>
          <w:b w:val="0"/>
          <w:bCs w:val="0"/>
          <w:color w:val="auto"/>
          <w:sz w:val="32"/>
          <w:szCs w:val="32"/>
          <w:highlight w:val="none"/>
          <w:lang w:eastAsia="zh-CN"/>
        </w:rPr>
        <w:t>实际</w:t>
      </w:r>
      <w:r>
        <w:rPr>
          <w:rFonts w:hint="default" w:ascii="Times New Roman" w:hAnsi="Times New Roman" w:eastAsia="方正仿宋_GBK" w:cs="Times New Roman"/>
          <w:b w:val="0"/>
          <w:bCs w:val="0"/>
          <w:color w:val="auto"/>
          <w:sz w:val="32"/>
          <w:szCs w:val="32"/>
          <w:highlight w:val="none"/>
          <w:lang w:val="en-US" w:eastAsia="zh-CN"/>
        </w:rPr>
        <w:t>完成情况：</w:t>
      </w:r>
      <w:r>
        <w:rPr>
          <w:rFonts w:hint="default" w:ascii="Times New Roman" w:hAnsi="Times New Roman" w:eastAsia="方正仿宋_GBK" w:cs="Times New Roman"/>
          <w:b w:val="0"/>
          <w:bCs w:val="0"/>
          <w:color w:val="auto"/>
          <w:sz w:val="32"/>
          <w:szCs w:val="32"/>
          <w:highlight w:val="none"/>
          <w:lang w:eastAsia="zh-CN"/>
        </w:rPr>
        <w:t>重点作物绿色高产高效项目区节本增效水平增加＞</w:t>
      </w:r>
      <w:r>
        <w:rPr>
          <w:rFonts w:hint="default" w:ascii="Times New Roman" w:hAnsi="Times New Roman" w:eastAsia="方正仿宋_GBK" w:cs="Times New Roman"/>
          <w:b w:val="0"/>
          <w:bCs w:val="0"/>
          <w:color w:val="auto"/>
          <w:sz w:val="32"/>
          <w:szCs w:val="32"/>
          <w:highlight w:val="none"/>
          <w:lang w:val="en-US" w:eastAsia="zh-CN"/>
        </w:rPr>
        <w:t>5%</w:t>
      </w:r>
      <w:r>
        <w:rPr>
          <w:rFonts w:hint="eastAsia" w:ascii="Times New Roman" w:hAnsi="Times New Roman" w:eastAsia="方正仿宋_GBK" w:cs="Times New Roman"/>
          <w:b w:val="0"/>
          <w:bCs w:val="0"/>
          <w:color w:val="auto"/>
          <w:sz w:val="32"/>
          <w:szCs w:val="32"/>
          <w:highlight w:val="none"/>
          <w:lang w:val="en-US" w:eastAsia="zh-CN"/>
        </w:rPr>
        <w:t>。</w:t>
      </w:r>
    </w:p>
    <w:p w14:paraId="5FAF9F5B">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3.时效指标：小麦“一喷三防”措施落实完成时限6月30日前，实际完成情况：已于5月30日前完成</w:t>
      </w:r>
      <w:r>
        <w:rPr>
          <w:rFonts w:hint="eastAsia" w:ascii="Times New Roman" w:hAnsi="Times New Roman" w:eastAsia="方正仿宋_GBK" w:cs="Times New Roman"/>
          <w:b w:val="0"/>
          <w:bCs w:val="0"/>
          <w:color w:val="auto"/>
          <w:sz w:val="32"/>
          <w:szCs w:val="32"/>
          <w:highlight w:val="none"/>
          <w:lang w:val="en-US" w:eastAsia="zh-CN"/>
        </w:rPr>
        <w:t>。</w:t>
      </w:r>
    </w:p>
    <w:p w14:paraId="60C3CEB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4.社会效益指标：防病治虫增产效果，危害损失率≤4%，实际完成情况：病虫危害损失率为1.85%</w:t>
      </w:r>
      <w:r>
        <w:rPr>
          <w:rFonts w:hint="eastAsia" w:ascii="Times New Roman" w:hAnsi="Times New Roman" w:eastAsia="方正仿宋_GBK" w:cs="Times New Roman"/>
          <w:b w:val="0"/>
          <w:bCs w:val="0"/>
          <w:color w:val="auto"/>
          <w:sz w:val="32"/>
          <w:szCs w:val="32"/>
          <w:highlight w:val="none"/>
          <w:lang w:val="en-US" w:eastAsia="zh-CN"/>
        </w:rPr>
        <w:t>。</w:t>
      </w:r>
    </w:p>
    <w:p w14:paraId="406C9FD5">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5.服务对象满意度指标：指导服务对象满意度≥85%，实际完成情况：指导服务对象满意度≥92%。</w:t>
      </w:r>
    </w:p>
    <w:p w14:paraId="2C777708">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snapToGrid/>
          <w:color w:val="000000"/>
          <w:kern w:val="2"/>
          <w:sz w:val="32"/>
          <w:szCs w:val="32"/>
          <w:lang w:val="en-US" w:eastAsia="zh-CN" w:bidi="ar-SA"/>
        </w:rPr>
      </w:pPr>
      <w:r>
        <w:rPr>
          <w:rFonts w:hint="default" w:ascii="Times New Roman" w:hAnsi="Times New Roman" w:eastAsia="方正黑体_GBK" w:cs="Times New Roman"/>
          <w:b w:val="0"/>
          <w:bCs w:val="0"/>
          <w:snapToGrid/>
          <w:color w:val="000000"/>
          <w:kern w:val="2"/>
          <w:sz w:val="32"/>
          <w:szCs w:val="32"/>
          <w:lang w:val="en-US" w:eastAsia="zh-CN" w:bidi="ar-SA"/>
        </w:rPr>
        <w:t>三、偏离绩效目标的原因和下一步改进措施</w:t>
      </w:r>
    </w:p>
    <w:p w14:paraId="1209F2E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color w:val="auto"/>
          <w:sz w:val="32"/>
          <w:szCs w:val="32"/>
          <w:highlight w:val="none"/>
          <w:lang w:val="en-US" w:eastAsia="zh-CN"/>
        </w:rPr>
      </w:pPr>
      <w:r>
        <w:rPr>
          <w:rFonts w:hint="eastAsia" w:ascii="Times New Roman" w:hAnsi="Times New Roman" w:eastAsia="方正仿宋_GBK" w:cs="Times New Roman"/>
          <w:color w:val="auto"/>
          <w:sz w:val="32"/>
          <w:szCs w:val="32"/>
          <w:highlight w:val="none"/>
          <w:lang w:val="en-US" w:eastAsia="zh-CN"/>
        </w:rPr>
        <w:t>中央</w:t>
      </w:r>
      <w:r>
        <w:rPr>
          <w:rFonts w:hint="default" w:ascii="Times New Roman" w:hAnsi="Times New Roman" w:eastAsia="方正仿宋_GBK" w:cs="Times New Roman"/>
          <w:color w:val="auto"/>
          <w:sz w:val="32"/>
          <w:szCs w:val="32"/>
          <w:highlight w:val="none"/>
          <w:lang w:val="en-US" w:eastAsia="zh-CN"/>
        </w:rPr>
        <w:t>下达支持油菜生产面积48万亩，截至绩效评价日，</w:t>
      </w:r>
      <w:r>
        <w:rPr>
          <w:rFonts w:hint="eastAsia" w:ascii="Times New Roman" w:hAnsi="Times New Roman" w:eastAsia="方正仿宋_GBK" w:cs="Times New Roman"/>
          <w:b w:val="0"/>
          <w:bCs w:val="0"/>
          <w:color w:val="auto"/>
          <w:sz w:val="32"/>
          <w:szCs w:val="32"/>
          <w:highlight w:val="none"/>
          <w:lang w:val="en-US" w:eastAsia="zh-CN"/>
        </w:rPr>
        <w:t>转移支付平台</w:t>
      </w:r>
      <w:r>
        <w:rPr>
          <w:rFonts w:hint="default" w:ascii="Times New Roman" w:hAnsi="Times New Roman" w:eastAsia="方正仿宋_GBK" w:cs="Times New Roman"/>
          <w:color w:val="auto"/>
          <w:sz w:val="32"/>
          <w:szCs w:val="32"/>
          <w:highlight w:val="none"/>
          <w:lang w:val="en-US" w:eastAsia="zh-CN"/>
        </w:rPr>
        <w:t>显示完成288.52万亩，实际完成431.47万亩。</w:t>
      </w:r>
      <w:r>
        <w:rPr>
          <w:rFonts w:hint="default" w:ascii="Times New Roman" w:hAnsi="Times New Roman" w:eastAsia="方正仿宋_GBK" w:cs="Times New Roman"/>
          <w:b w:val="0"/>
          <w:bCs w:val="0"/>
          <w:color w:val="auto"/>
          <w:sz w:val="32"/>
          <w:szCs w:val="32"/>
          <w:highlight w:val="none"/>
          <w:lang w:val="en-US" w:eastAsia="zh-CN"/>
        </w:rPr>
        <w:t>主要原因为：</w:t>
      </w:r>
      <w:r>
        <w:rPr>
          <w:rFonts w:hint="default" w:ascii="Times New Roman" w:hAnsi="Times New Roman" w:eastAsia="方正仿宋_GBK" w:cs="Times New Roman"/>
          <w:b w:val="0"/>
          <w:bCs/>
          <w:color w:val="auto"/>
          <w:sz w:val="32"/>
          <w:szCs w:val="32"/>
          <w:highlight w:val="none"/>
          <w:u w:val="none"/>
          <w:lang w:val="en-US" w:eastAsia="zh-CN"/>
        </w:rPr>
        <w:t>据云南省统计局反馈，2025年全省实际种植油菜</w:t>
      </w:r>
      <w:r>
        <w:rPr>
          <w:rFonts w:hint="default" w:ascii="Times New Roman" w:hAnsi="Times New Roman" w:eastAsia="方正仿宋_GBK" w:cs="Times New Roman"/>
          <w:color w:val="auto"/>
          <w:sz w:val="32"/>
          <w:szCs w:val="32"/>
          <w:highlight w:val="none"/>
          <w:lang w:val="en-US" w:eastAsia="zh-CN"/>
        </w:rPr>
        <w:t>431.47</w:t>
      </w:r>
      <w:r>
        <w:rPr>
          <w:rFonts w:hint="default" w:ascii="Times New Roman" w:hAnsi="Times New Roman" w:eastAsia="方正仿宋_GBK" w:cs="Times New Roman"/>
          <w:b w:val="0"/>
          <w:bCs/>
          <w:color w:val="auto"/>
          <w:sz w:val="32"/>
          <w:szCs w:val="32"/>
          <w:highlight w:val="none"/>
          <w:u w:val="none"/>
          <w:lang w:val="en-US" w:eastAsia="zh-CN"/>
        </w:rPr>
        <w:t>万亩，</w:t>
      </w:r>
      <w:r>
        <w:rPr>
          <w:rFonts w:hint="default" w:ascii="Times New Roman" w:hAnsi="Times New Roman" w:eastAsia="方正仿宋_GBK" w:cs="Times New Roman"/>
          <w:b w:val="0"/>
          <w:bCs w:val="0"/>
          <w:color w:val="auto"/>
          <w:sz w:val="32"/>
          <w:szCs w:val="32"/>
          <w:highlight w:val="none"/>
          <w:lang w:val="en-US" w:eastAsia="zh-CN"/>
        </w:rPr>
        <w:t>由于部分项目县未及时在转移支付平台填报信息，导致数据不准确。下一步，将督促各县尽快在转移支付平台认真填报数据。</w:t>
      </w:r>
    </w:p>
    <w:p w14:paraId="47BC7B1F">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b w:val="0"/>
          <w:bCs/>
          <w:color w:val="auto"/>
          <w:sz w:val="32"/>
          <w:szCs w:val="32"/>
          <w:highlight w:val="none"/>
          <w:u w:val="none"/>
          <w:lang w:val="en-US" w:eastAsia="zh-CN"/>
        </w:rPr>
      </w:pPr>
      <w:r>
        <w:rPr>
          <w:rFonts w:hint="default" w:ascii="Times New Roman" w:hAnsi="Times New Roman" w:eastAsia="方正仿宋_GBK" w:cs="Times New Roman"/>
          <w:b w:val="0"/>
          <w:bCs/>
          <w:color w:val="auto"/>
          <w:sz w:val="32"/>
          <w:szCs w:val="32"/>
          <w:highlight w:val="none"/>
          <w:u w:val="none"/>
          <w:lang w:val="en-US" w:eastAsia="zh-CN"/>
        </w:rPr>
        <w:t>中央下达</w:t>
      </w:r>
      <w:r>
        <w:rPr>
          <w:rFonts w:hint="default" w:ascii="Times New Roman" w:hAnsi="Times New Roman" w:eastAsia="方正仿宋_GBK" w:cs="Times New Roman"/>
          <w:bCs/>
          <w:i w:val="0"/>
          <w:color w:val="auto"/>
          <w:kern w:val="0"/>
          <w:sz w:val="32"/>
          <w:szCs w:val="32"/>
          <w:highlight w:val="none"/>
          <w:u w:val="none"/>
          <w:lang w:val="en-US" w:eastAsia="zh-CN" w:bidi="ar"/>
        </w:rPr>
        <w:t>大豆玉米带状复合种植任务面积70万亩，</w:t>
      </w:r>
      <w:r>
        <w:rPr>
          <w:rFonts w:hint="default" w:ascii="Times New Roman" w:hAnsi="Times New Roman" w:eastAsia="方正仿宋_GBK" w:cs="Times New Roman"/>
          <w:b w:val="0"/>
          <w:bCs/>
          <w:color w:val="auto"/>
          <w:sz w:val="32"/>
          <w:szCs w:val="32"/>
          <w:highlight w:val="none"/>
          <w:u w:val="none"/>
          <w:lang w:val="en-US" w:eastAsia="zh-CN"/>
        </w:rPr>
        <w:t>截至绩效评价日，</w:t>
      </w:r>
      <w:r>
        <w:rPr>
          <w:rFonts w:hint="eastAsia" w:ascii="Times New Roman" w:hAnsi="Times New Roman" w:eastAsia="方正仿宋_GBK" w:cs="Times New Roman"/>
          <w:b w:val="0"/>
          <w:bCs w:val="0"/>
          <w:color w:val="auto"/>
          <w:sz w:val="32"/>
          <w:szCs w:val="32"/>
          <w:highlight w:val="none"/>
          <w:lang w:val="en-US" w:eastAsia="zh-CN"/>
        </w:rPr>
        <w:t>转移支付平台</w:t>
      </w:r>
      <w:r>
        <w:rPr>
          <w:rFonts w:hint="default" w:ascii="Times New Roman" w:hAnsi="Times New Roman" w:eastAsia="方正仿宋_GBK" w:cs="Times New Roman"/>
          <w:b w:val="0"/>
          <w:bCs/>
          <w:color w:val="auto"/>
          <w:sz w:val="32"/>
          <w:szCs w:val="32"/>
          <w:highlight w:val="none"/>
          <w:u w:val="none"/>
          <w:lang w:val="en-US" w:eastAsia="zh-CN"/>
        </w:rPr>
        <w:t>显示完成39.86万亩，实际完成70.89万亩。主要原因为：据国家统计局云南调查总队反馈，2025年全省实际完成大豆玉米带状复合种植70.89万亩，超计划任务0.89万亩，但由于部分州（市）未完成年初下达的任务，而超额完成任务的州（市）仅按照年初下达的任务数填报转移支付平台系统，导致总数出现偏差。下一步，将督促各地按照实际完成情况填报，保障数据准确。</w:t>
      </w:r>
    </w:p>
    <w:p w14:paraId="3A5B4CBF">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黑体_GBK" w:cs="Times New Roman"/>
          <w:b w:val="0"/>
          <w:bCs w:val="0"/>
          <w:snapToGrid/>
          <w:color w:val="000000"/>
          <w:kern w:val="2"/>
          <w:sz w:val="32"/>
          <w:szCs w:val="32"/>
          <w:lang w:val="en-US" w:eastAsia="zh-CN" w:bidi="ar-SA"/>
        </w:rPr>
      </w:pPr>
      <w:r>
        <w:rPr>
          <w:rFonts w:hint="default" w:ascii="Times New Roman" w:hAnsi="Times New Roman" w:eastAsia="方正黑体_GBK" w:cs="Times New Roman"/>
          <w:b w:val="0"/>
          <w:bCs w:val="0"/>
          <w:snapToGrid/>
          <w:color w:val="000000"/>
          <w:kern w:val="2"/>
          <w:sz w:val="32"/>
          <w:szCs w:val="32"/>
          <w:lang w:val="en-US" w:eastAsia="zh-CN" w:bidi="ar-SA"/>
        </w:rPr>
        <w:t>四、绩效自评结果拟应用和公开情况</w:t>
      </w:r>
    </w:p>
    <w:p w14:paraId="4C5220DC">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云南省2025年度中央粮油生产保障资金各项目绩效评价结果，</w:t>
      </w:r>
      <w:r>
        <w:rPr>
          <w:rFonts w:hint="default" w:ascii="Times New Roman" w:hAnsi="Times New Roman" w:eastAsia="方正仿宋_GBK" w:cs="Times New Roman"/>
          <w:color w:val="auto"/>
          <w:sz w:val="32"/>
          <w:szCs w:val="32"/>
          <w:highlight w:val="none"/>
          <w:lang w:val="en-US" w:eastAsia="zh-CN"/>
        </w:rPr>
        <w:t>将作为次年资金安排重要因素加以运用</w:t>
      </w:r>
      <w:r>
        <w:rPr>
          <w:rFonts w:hint="default" w:ascii="Times New Roman" w:hAnsi="Times New Roman" w:eastAsia="方正仿宋_GBK" w:cs="Times New Roman"/>
          <w:color w:val="auto"/>
          <w:sz w:val="32"/>
          <w:szCs w:val="32"/>
          <w:highlight w:val="none"/>
          <w:lang w:eastAsia="zh-CN"/>
        </w:rPr>
        <w:t>。同时，评价结果将及时</w:t>
      </w:r>
      <w:r>
        <w:rPr>
          <w:rFonts w:hint="default" w:ascii="Times New Roman" w:hAnsi="Times New Roman" w:eastAsia="方正仿宋_GBK" w:cs="Times New Roman"/>
          <w:b w:val="0"/>
          <w:bCs/>
          <w:color w:val="auto"/>
          <w:sz w:val="32"/>
          <w:szCs w:val="32"/>
          <w:highlight w:val="none"/>
          <w:lang w:val="en-US" w:eastAsia="zh-CN"/>
        </w:rPr>
        <w:t>在省农业农村厅门户网站公开。</w:t>
      </w:r>
    </w:p>
    <w:p w14:paraId="50AD9892">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snapToGrid/>
          <w:color w:val="000000"/>
          <w:kern w:val="2"/>
          <w:sz w:val="32"/>
          <w:szCs w:val="32"/>
          <w:lang w:val="en-US" w:eastAsia="zh-CN" w:bidi="ar-SA"/>
        </w:rPr>
      </w:pPr>
      <w:r>
        <w:rPr>
          <w:rFonts w:hint="default" w:ascii="Times New Roman" w:hAnsi="Times New Roman" w:eastAsia="方正黑体_GBK" w:cs="Times New Roman"/>
          <w:b w:val="0"/>
          <w:bCs w:val="0"/>
          <w:snapToGrid/>
          <w:color w:val="000000"/>
          <w:kern w:val="2"/>
          <w:sz w:val="32"/>
          <w:szCs w:val="32"/>
          <w:lang w:val="en-US" w:eastAsia="zh-CN" w:bidi="ar-SA"/>
        </w:rPr>
        <w:t>五、其他需要说明的问题</w:t>
      </w:r>
    </w:p>
    <w:p w14:paraId="3DD9BBB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无巡视、审核和财会监督中发现的问题及其所涉及的金额。</w:t>
      </w:r>
    </w:p>
    <w:p w14:paraId="79E29467">
      <w:pPr>
        <w:pStyle w:val="9"/>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snapToGrid/>
          <w:color w:val="000000"/>
          <w:kern w:val="2"/>
          <w:sz w:val="32"/>
          <w:szCs w:val="32"/>
          <w:lang w:val="en-US" w:eastAsia="zh-CN" w:bidi="ar-SA"/>
        </w:rPr>
      </w:pPr>
    </w:p>
    <w:p w14:paraId="1183FDD6">
      <w:pPr>
        <w:pStyle w:val="9"/>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jc w:val="both"/>
        <w:textAlignment w:val="auto"/>
        <w:rPr>
          <w:rFonts w:hint="default"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附表：粮油生产保障</w:t>
      </w:r>
      <w:r>
        <w:rPr>
          <w:rFonts w:hint="default" w:ascii="Times New Roman" w:hAnsi="Times New Roman" w:eastAsia="方正仿宋_GBK" w:cs="Times New Roman"/>
          <w:snapToGrid/>
          <w:color w:val="000000"/>
          <w:kern w:val="2"/>
          <w:sz w:val="32"/>
          <w:szCs w:val="32"/>
          <w:lang w:val="en-US" w:eastAsia="zh-CN" w:bidi="ar-SA"/>
        </w:rPr>
        <w:t>转移支付区域（项目）绩效自评表</w:t>
      </w:r>
    </w:p>
    <w:p w14:paraId="1D6DBB71">
      <w:pPr>
        <w:pStyle w:val="9"/>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jc w:val="both"/>
        <w:textAlignment w:val="auto"/>
        <w:rPr>
          <w:rFonts w:hint="default" w:ascii="Times New Roman" w:hAnsi="Times New Roman" w:eastAsia="方正仿宋_GBK" w:cs="Times New Roman"/>
          <w:snapToGrid/>
          <w:color w:val="000000"/>
          <w:kern w:val="2"/>
          <w:sz w:val="32"/>
          <w:szCs w:val="32"/>
          <w:lang w:val="en-US" w:eastAsia="zh-CN" w:bidi="ar-SA"/>
        </w:rPr>
      </w:pPr>
    </w:p>
    <w:p w14:paraId="60F32578">
      <w:pPr>
        <w:pStyle w:val="9"/>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jc w:val="both"/>
        <w:textAlignment w:val="auto"/>
        <w:rPr>
          <w:rFonts w:hint="default" w:ascii="Times New Roman" w:hAnsi="Times New Roman" w:eastAsia="方正仿宋_GBK" w:cs="Times New Roman"/>
          <w:snapToGrid/>
          <w:color w:val="000000"/>
          <w:kern w:val="2"/>
          <w:sz w:val="32"/>
          <w:szCs w:val="32"/>
          <w:lang w:val="en-US" w:eastAsia="zh-CN" w:bidi="ar-SA"/>
        </w:rPr>
      </w:pPr>
    </w:p>
    <w:p w14:paraId="2ABDC907">
      <w:pPr>
        <w:pStyle w:val="9"/>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jc w:val="both"/>
        <w:textAlignment w:val="auto"/>
        <w:rPr>
          <w:rFonts w:hint="default" w:ascii="Times New Roman" w:hAnsi="Times New Roman" w:eastAsia="方正仿宋_GBK" w:cs="Times New Roman"/>
          <w:snapToGrid/>
          <w:color w:val="000000"/>
          <w:kern w:val="2"/>
          <w:sz w:val="32"/>
          <w:szCs w:val="32"/>
          <w:lang w:val="en-US" w:eastAsia="zh-CN" w:bidi="ar-SA"/>
        </w:rPr>
      </w:pPr>
    </w:p>
    <w:p w14:paraId="53C690A3">
      <w:pPr>
        <w:pStyle w:val="9"/>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jc w:val="both"/>
        <w:textAlignment w:val="auto"/>
        <w:rPr>
          <w:rFonts w:hint="default" w:ascii="Times New Roman" w:hAnsi="Times New Roman" w:eastAsia="方正仿宋_GBK" w:cs="Times New Roman"/>
          <w:snapToGrid/>
          <w:color w:val="000000"/>
          <w:kern w:val="2"/>
          <w:sz w:val="32"/>
          <w:szCs w:val="32"/>
          <w:lang w:val="en-US" w:eastAsia="zh-CN" w:bidi="ar-SA"/>
        </w:rPr>
      </w:pPr>
    </w:p>
    <w:p w14:paraId="3391F62A">
      <w:pPr>
        <w:pStyle w:val="9"/>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jc w:val="both"/>
        <w:textAlignment w:val="auto"/>
        <w:rPr>
          <w:rFonts w:hint="default" w:ascii="Times New Roman" w:hAnsi="Times New Roman" w:eastAsia="方正仿宋_GBK" w:cs="Times New Roman"/>
          <w:snapToGrid/>
          <w:color w:val="000000"/>
          <w:kern w:val="2"/>
          <w:sz w:val="32"/>
          <w:szCs w:val="32"/>
          <w:lang w:val="en-US" w:eastAsia="zh-CN" w:bidi="ar-SA"/>
        </w:rPr>
      </w:pPr>
    </w:p>
    <w:p w14:paraId="52432F95">
      <w:pPr>
        <w:pStyle w:val="9"/>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jc w:val="both"/>
        <w:textAlignment w:val="auto"/>
        <w:rPr>
          <w:rFonts w:hint="default" w:ascii="Times New Roman" w:hAnsi="Times New Roman" w:eastAsia="方正仿宋_GBK" w:cs="Times New Roman"/>
          <w:snapToGrid/>
          <w:color w:val="000000"/>
          <w:kern w:val="2"/>
          <w:sz w:val="32"/>
          <w:szCs w:val="32"/>
          <w:lang w:val="en-US" w:eastAsia="zh-CN" w:bidi="ar-SA"/>
        </w:rPr>
      </w:pPr>
    </w:p>
    <w:p w14:paraId="72833165">
      <w:pPr>
        <w:rPr>
          <w:rFonts w:hint="default" w:ascii="Times New Roman" w:hAnsi="Times New Roman" w:eastAsia="黑体" w:cs="Times New Roman"/>
          <w:color w:val="auto"/>
          <w:sz w:val="32"/>
          <w:szCs w:val="32"/>
          <w:lang w:val="en-US" w:eastAsia="zh-CN"/>
        </w:rPr>
      </w:pPr>
    </w:p>
    <w:p w14:paraId="57489166">
      <w:pPr>
        <w:rPr>
          <w:rFonts w:hint="default" w:ascii="Times New Roman" w:hAnsi="Times New Roman" w:eastAsia="黑体" w:cs="Times New Roman"/>
          <w:color w:val="auto"/>
          <w:sz w:val="32"/>
          <w:szCs w:val="32"/>
          <w:lang w:val="en-US" w:eastAsia="zh-CN"/>
        </w:rPr>
      </w:pPr>
    </w:p>
    <w:p w14:paraId="01F2C744">
      <w:pPr>
        <w:rPr>
          <w:rFonts w:hint="default" w:ascii="Times New Roman" w:hAnsi="Times New Roman" w:eastAsia="黑体" w:cs="Times New Roman"/>
          <w:color w:val="auto"/>
          <w:sz w:val="32"/>
          <w:szCs w:val="32"/>
          <w:lang w:val="en-US" w:eastAsia="zh-CN"/>
        </w:rPr>
      </w:pPr>
    </w:p>
    <w:p w14:paraId="32BB4368">
      <w:pPr>
        <w:rPr>
          <w:rFonts w:hint="default" w:ascii="Times New Roman" w:hAnsi="Times New Roman" w:eastAsia="黑体" w:cs="Times New Roman"/>
          <w:color w:val="auto"/>
          <w:sz w:val="32"/>
          <w:szCs w:val="32"/>
          <w:lang w:val="en-US" w:eastAsia="zh-CN"/>
        </w:rPr>
      </w:pPr>
    </w:p>
    <w:sectPr>
      <w:footerReference r:id="rId3" w:type="default"/>
      <w:pgSz w:w="11906" w:h="16838"/>
      <w:pgMar w:top="1440" w:right="1587" w:bottom="1440"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744120-DBD4-44ED-9181-FB4C30CCD8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2FB1015-D7E8-4B1B-8E74-CE85F1BD0D84}"/>
  </w:font>
  <w:font w:name="方正仿宋_GBK">
    <w:panose1 w:val="03000509000000000000"/>
    <w:charset w:val="86"/>
    <w:family w:val="auto"/>
    <w:pitch w:val="default"/>
    <w:sig w:usb0="00000001" w:usb1="080E0000" w:usb2="00000000" w:usb3="00000000" w:csb0="00040000" w:csb1="00000000"/>
    <w:embedRegular r:id="rId3" w:fontKey="{EFF9D738-52AF-4A70-A130-107A88A94F75}"/>
  </w:font>
  <w:font w:name="方正黑体_GBK">
    <w:panose1 w:val="02010600010101010101"/>
    <w:charset w:val="86"/>
    <w:family w:val="auto"/>
    <w:pitch w:val="default"/>
    <w:sig w:usb0="00000001" w:usb1="080E0000" w:usb2="00000000" w:usb3="00000000" w:csb0="00040000" w:csb1="00000000"/>
    <w:embedRegular r:id="rId4" w:fontKey="{917A4AFB-A1C0-4824-952A-3786CB2FE7F2}"/>
  </w:font>
  <w:font w:name="方正小标宋_GBK">
    <w:panose1 w:val="03000509000000000000"/>
    <w:charset w:val="86"/>
    <w:family w:val="auto"/>
    <w:pitch w:val="default"/>
    <w:sig w:usb0="00000001" w:usb1="080E0000" w:usb2="00000000" w:usb3="00000000" w:csb0="00040000" w:csb1="00000000"/>
    <w:embedRegular r:id="rId5" w:fontKey="{A6C3B183-B48C-40AC-9D2C-EFBBDF38A8EA}"/>
  </w:font>
  <w:font w:name="方正楷体_GBK">
    <w:panose1 w:val="03000509000000000000"/>
    <w:charset w:val="86"/>
    <w:family w:val="auto"/>
    <w:pitch w:val="default"/>
    <w:sig w:usb0="00000001" w:usb1="080E0000" w:usb2="00000000" w:usb3="00000000" w:csb0="00040000" w:csb1="00000000"/>
    <w:embedRegular r:id="rId6" w:fontKey="{9B7CE41C-CB2A-41AF-902F-F26188AF456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E3E4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8538FD">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8538FD">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NmVhNmY5NDY4MDhkZjI4NmU4Y2FmMDAwYzFkMzMifQ=="/>
  </w:docVars>
  <w:rsids>
    <w:rsidRoot w:val="FFEF41C5"/>
    <w:rsid w:val="00123809"/>
    <w:rsid w:val="009C337D"/>
    <w:rsid w:val="00B80ABA"/>
    <w:rsid w:val="019E4ED3"/>
    <w:rsid w:val="04230F09"/>
    <w:rsid w:val="07CA6A21"/>
    <w:rsid w:val="089F469F"/>
    <w:rsid w:val="0B955598"/>
    <w:rsid w:val="101D6DAA"/>
    <w:rsid w:val="10995E94"/>
    <w:rsid w:val="11333F3B"/>
    <w:rsid w:val="11F56D91"/>
    <w:rsid w:val="129E06A0"/>
    <w:rsid w:val="12B02CB8"/>
    <w:rsid w:val="13270D7A"/>
    <w:rsid w:val="17EC61EC"/>
    <w:rsid w:val="183323C1"/>
    <w:rsid w:val="18BF5B28"/>
    <w:rsid w:val="1928405B"/>
    <w:rsid w:val="1A9F3D3E"/>
    <w:rsid w:val="1B373F76"/>
    <w:rsid w:val="1BB74E72"/>
    <w:rsid w:val="1BC3290A"/>
    <w:rsid w:val="201605FE"/>
    <w:rsid w:val="205D447F"/>
    <w:rsid w:val="21CF315A"/>
    <w:rsid w:val="22145011"/>
    <w:rsid w:val="2322550C"/>
    <w:rsid w:val="235558E1"/>
    <w:rsid w:val="23B819CC"/>
    <w:rsid w:val="257FFDAD"/>
    <w:rsid w:val="278906CB"/>
    <w:rsid w:val="27F51441"/>
    <w:rsid w:val="2AC56CC9"/>
    <w:rsid w:val="2B0A69AB"/>
    <w:rsid w:val="2E133665"/>
    <w:rsid w:val="2EFA558F"/>
    <w:rsid w:val="2FFE194B"/>
    <w:rsid w:val="30AE4883"/>
    <w:rsid w:val="335D5327"/>
    <w:rsid w:val="336B0809"/>
    <w:rsid w:val="34A51AF9"/>
    <w:rsid w:val="36483084"/>
    <w:rsid w:val="391A4640"/>
    <w:rsid w:val="395104A1"/>
    <w:rsid w:val="400B3641"/>
    <w:rsid w:val="40866C82"/>
    <w:rsid w:val="47EB2B96"/>
    <w:rsid w:val="49F42EAF"/>
    <w:rsid w:val="4A8A3813"/>
    <w:rsid w:val="4D766883"/>
    <w:rsid w:val="4E1F4272"/>
    <w:rsid w:val="4FEE4B36"/>
    <w:rsid w:val="506D7517"/>
    <w:rsid w:val="515C6327"/>
    <w:rsid w:val="59286A74"/>
    <w:rsid w:val="5ABA133E"/>
    <w:rsid w:val="5ADC3C17"/>
    <w:rsid w:val="5DAB1BD3"/>
    <w:rsid w:val="65C6799D"/>
    <w:rsid w:val="65F5484F"/>
    <w:rsid w:val="6AE57A17"/>
    <w:rsid w:val="6D0B038C"/>
    <w:rsid w:val="6E48549F"/>
    <w:rsid w:val="725FEF0A"/>
    <w:rsid w:val="73A31857"/>
    <w:rsid w:val="77955421"/>
    <w:rsid w:val="78E37259"/>
    <w:rsid w:val="78EC72C3"/>
    <w:rsid w:val="7BF5648F"/>
    <w:rsid w:val="7CAC1243"/>
    <w:rsid w:val="B17BFA46"/>
    <w:rsid w:val="D3FF0646"/>
    <w:rsid w:val="DDFEE596"/>
    <w:rsid w:val="DEDF4281"/>
    <w:rsid w:val="DEDF5D81"/>
    <w:rsid w:val="EFFF8BC3"/>
    <w:rsid w:val="F5F89BB1"/>
    <w:rsid w:val="F7F7BCE1"/>
    <w:rsid w:val="FBF777D8"/>
    <w:rsid w:val="FFEF4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line="360" w:lineRule="auto"/>
      <w:jc w:val="center"/>
      <w:outlineLvl w:val="0"/>
    </w:pPr>
    <w:rPr>
      <w:rFonts w:ascii="Times New Roman" w:hAnsi="Times New Roman" w:eastAsia="宋体"/>
      <w:b/>
      <w:bCs/>
      <w:kern w:val="44"/>
      <w:sz w:val="32"/>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a heading"/>
    <w:next w:val="1"/>
    <w:qFormat/>
    <w:uiPriority w:val="0"/>
    <w:pPr>
      <w:widowControl w:val="0"/>
      <w:spacing w:before="120"/>
      <w:jc w:val="both"/>
    </w:pPr>
    <w:rPr>
      <w:rFonts w:ascii="Times New Roman" w:hAnsi="Times New Roman" w:eastAsia="宋体" w:cs="Times New Roman"/>
      <w:kern w:val="2"/>
      <w:sz w:val="24"/>
      <w:lang w:val="en-US" w:eastAsia="zh-CN" w:bidi="ar-SA"/>
    </w:rPr>
  </w:style>
  <w:style w:type="paragraph" w:styleId="4">
    <w:name w:val="Normal Indent"/>
    <w:basedOn w:val="1"/>
    <w:next w:val="1"/>
    <w:qFormat/>
    <w:uiPriority w:val="0"/>
    <w:pPr>
      <w:snapToGrid w:val="0"/>
      <w:spacing w:line="300" w:lineRule="auto"/>
      <w:ind w:firstLine="556"/>
    </w:pPr>
    <w:rPr>
      <w:rFonts w:ascii="仿宋_GB2312" w:hAnsi="Times New Roman" w:eastAsia="仿宋_GB2312"/>
      <w:kern w:val="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Normal Indent1"/>
    <w:basedOn w:val="1"/>
    <w:qFormat/>
    <w:uiPriority w:val="0"/>
    <w:pPr>
      <w:ind w:firstLine="420" w:firstLineChars="200"/>
    </w:pPr>
  </w:style>
  <w:style w:type="paragraph" w:customStyle="1" w:styleId="10">
    <w:name w:val="p0 New New New New New New New New New New New New New New New New New New New New New New New New New New New New New New New"/>
    <w:basedOn w:val="1"/>
    <w:qFormat/>
    <w:uiPriority w:val="0"/>
    <w:pPr>
      <w:widowControl/>
    </w:pPr>
    <w:rPr>
      <w:rFonts w:ascii="Calibri" w:hAnsi="Calibri" w:cs="宋体"/>
      <w:kern w:val="0"/>
      <w:sz w:val="30"/>
      <w:szCs w:val="30"/>
    </w:rPr>
  </w:style>
  <w:style w:type="character" w:customStyle="1" w:styleId="11">
    <w:name w:val="NormalCharacter"/>
    <w:qFormat/>
    <w:uiPriority w:val="0"/>
    <w:rPr>
      <w:rFonts w:ascii="Calibri" w:hAnsi="Calibri" w:eastAsia="宋体" w:cs="Times New Roman"/>
      <w:kern w:val="2"/>
      <w:sz w:val="21"/>
      <w:szCs w:val="24"/>
      <w:lang w:val="en-US" w:eastAsia="zh-CN" w:bidi="ar-SA"/>
    </w:r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3"/>
    <w:qFormat/>
    <w:uiPriority w:val="0"/>
    <w:pPr>
      <w:widowControl w:val="0"/>
      <w:jc w:val="both"/>
    </w:pPr>
    <w:rPr>
      <w:rFonts w:ascii="Calibri" w:hAnsi="Calibri" w:eastAsia="宋体" w:cs="黑体"/>
      <w:kern w:val="2"/>
      <w:sz w:val="21"/>
      <w:szCs w:val="24"/>
      <w:lang w:val="en-US" w:eastAsia="zh-CN" w:bidi="ar-SA"/>
    </w:rPr>
  </w:style>
  <w:style w:type="paragraph" w:customStyle="1" w:styleId="13">
    <w:name w:val="图表目录1"/>
    <w:basedOn w:val="12"/>
    <w:next w:val="12"/>
    <w:qFormat/>
    <w:uiPriority w:val="0"/>
    <w:pPr>
      <w:ind w:left="200" w:leftChars="200" w:hanging="200" w:hangingChars="200"/>
    </w:p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51"/>
    <w:basedOn w:val="8"/>
    <w:qFormat/>
    <w:uiPriority w:val="0"/>
    <w:rPr>
      <w:rFonts w:ascii="Arial" w:hAnsi="Arial" w:cs="Arial"/>
      <w:color w:val="000000"/>
      <w:sz w:val="22"/>
      <w:szCs w:val="22"/>
      <w:u w:val="none"/>
    </w:rPr>
  </w:style>
  <w:style w:type="character" w:customStyle="1" w:styleId="16">
    <w:name w:val="font61"/>
    <w:basedOn w:val="8"/>
    <w:qFormat/>
    <w:uiPriority w:val="0"/>
    <w:rPr>
      <w:rFonts w:ascii="方正仿宋_GBK" w:hAnsi="方正仿宋_GBK" w:eastAsia="方正仿宋_GBK" w:cs="方正仿宋_GBK"/>
      <w:color w:val="000000"/>
      <w:sz w:val="22"/>
      <w:szCs w:val="22"/>
      <w:u w:val="none"/>
    </w:rPr>
  </w:style>
  <w:style w:type="character" w:customStyle="1" w:styleId="17">
    <w:name w:val="font41"/>
    <w:basedOn w:val="8"/>
    <w:qFormat/>
    <w:uiPriority w:val="0"/>
    <w:rPr>
      <w:rFonts w:hint="default" w:ascii="Times New Roman" w:hAnsi="Times New Roman" w:cs="Times New Roman"/>
      <w:color w:val="000000"/>
      <w:sz w:val="22"/>
      <w:szCs w:val="22"/>
      <w:u w:val="none"/>
    </w:rPr>
  </w:style>
  <w:style w:type="character" w:customStyle="1" w:styleId="18">
    <w:name w:val="font31"/>
    <w:basedOn w:val="8"/>
    <w:qFormat/>
    <w:uiPriority w:val="0"/>
    <w:rPr>
      <w:rFonts w:hint="default" w:ascii="Times New Roman" w:hAnsi="Times New Roman" w:cs="Times New Roman"/>
      <w:color w:val="000000"/>
      <w:sz w:val="20"/>
      <w:szCs w:val="20"/>
      <w:u w:val="none"/>
    </w:rPr>
  </w:style>
  <w:style w:type="character" w:customStyle="1" w:styleId="19">
    <w:name w:val="font71"/>
    <w:basedOn w:val="8"/>
    <w:qFormat/>
    <w:uiPriority w:val="0"/>
    <w:rPr>
      <w:rFonts w:hint="eastAsia" w:ascii="方正仿宋_GBK" w:hAnsi="方正仿宋_GBK" w:eastAsia="方正仿宋_GBK" w:cs="方正仿宋_GBK"/>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3216</Words>
  <Characters>3650</Characters>
  <Lines>0</Lines>
  <Paragraphs>0</Paragraphs>
  <TotalTime>93</TotalTime>
  <ScaleCrop>false</ScaleCrop>
  <LinksUpToDate>false</LinksUpToDate>
  <CharactersWithSpaces>3702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2026-02-26T11:46:00Z</dcterms:created>
  <dc:creator>卡卡</dc:creator>
  <cp:lastModifiedBy>张微</cp:lastModifiedBy>
  <cp:lastPrinted>2026-03-30T07:00:00Z</cp:lastPrinted>
  <dcterms:modified xsi:type="dcterms:W3CDTF">2026-04-01T08:46:57Z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7F3D0C383690935D27E19E69707EBA64_41</vt:lpwstr>
  </property>
  <property fmtid="{D5CDD505-2E9C-101B-9397-08002B2CF9AE}" pid="4" name="KSOTemplateDocerSaveRecord">
    <vt:lpwstr>eyJoZGlkIjoiMDRjODNkYmVmYTU1YTQ0YTY1MTA2NjA1M2M1MGFlYWQiLCJ1c2VySWQiOiIxNjEzNDM2NzY2In0=</vt:lpwstr>
  </property>
</Properties>
</file>